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580FD5" w14:textId="77777777" w:rsidR="00FE24A1" w:rsidRDefault="00FE24A1" w:rsidP="00FE24A1">
      <w:pPr>
        <w:spacing w:line="240" w:lineRule="auto"/>
        <w:contextualSpacing w:val="0"/>
        <w:rPr>
          <w:rFonts w:ascii="Britannic Bold" w:hAnsi="Britannic Bold"/>
          <w:sz w:val="28"/>
        </w:rPr>
      </w:pPr>
      <w:bookmarkStart w:id="0" w:name="_GoBack"/>
      <w:bookmarkEnd w:id="0"/>
      <w:r w:rsidRPr="00211389">
        <w:rPr>
          <w:rFonts w:ascii="Britannic Bold" w:hAnsi="Britannic Bold"/>
          <w:sz w:val="28"/>
        </w:rPr>
        <w:t>15 APGoPo Required SCOTUS Cases</w:t>
      </w:r>
      <w:r>
        <w:rPr>
          <w:rFonts w:ascii="Britannic Bold" w:hAnsi="Britannic Bold"/>
          <w:sz w:val="28"/>
        </w:rPr>
        <w:t xml:space="preserve"> </w:t>
      </w:r>
    </w:p>
    <w:p w14:paraId="1D64227E" w14:textId="77777777" w:rsidR="007078F4" w:rsidRDefault="00FE24A1" w:rsidP="007078F4">
      <w:pPr>
        <w:spacing w:line="240" w:lineRule="auto"/>
        <w:ind w:left="2160" w:firstLine="720"/>
        <w:contextualSpacing w:val="0"/>
        <w:rPr>
          <w:rFonts w:ascii="Britannic Bold" w:hAnsi="Britannic Bold"/>
          <w:sz w:val="28"/>
        </w:rPr>
      </w:pPr>
      <w:r w:rsidRPr="00211389">
        <w:rPr>
          <w:rFonts w:ascii="Britannic Bold" w:hAnsi="Britannic Bold"/>
          <w:sz w:val="28"/>
        </w:rPr>
        <w:t>&gt;&gt;&gt;&gt;</w:t>
      </w:r>
      <w:r>
        <w:rPr>
          <w:rFonts w:ascii="Britannic Bold" w:hAnsi="Britannic Bold"/>
          <w:sz w:val="28"/>
        </w:rPr>
        <w:t xml:space="preserve"> </w:t>
      </w:r>
      <w:r w:rsidRPr="00211389">
        <w:rPr>
          <w:rFonts w:ascii="Britannic Bold" w:hAnsi="Britannic Bold"/>
          <w:sz w:val="36"/>
          <w:u w:val="single"/>
        </w:rPr>
        <w:t>Comparison Cases</w:t>
      </w:r>
      <w:r w:rsidRPr="00211389">
        <w:rPr>
          <w:rFonts w:ascii="Britannic Bold" w:hAnsi="Britannic Bold"/>
          <w:sz w:val="36"/>
        </w:rPr>
        <w:t xml:space="preserve"> </w:t>
      </w:r>
    </w:p>
    <w:p w14:paraId="258BF386" w14:textId="77777777" w:rsidR="007078F4" w:rsidRPr="007078F4" w:rsidRDefault="007078F4" w:rsidP="007078F4">
      <w:pPr>
        <w:pBdr>
          <w:bottom w:val="single" w:sz="6" w:space="1" w:color="auto"/>
        </w:pBdr>
        <w:spacing w:line="240" w:lineRule="auto"/>
        <w:contextualSpacing w:val="0"/>
        <w:rPr>
          <w:rFonts w:ascii="Britannic Bold" w:hAnsi="Britannic Bold"/>
          <w:sz w:val="28"/>
        </w:rPr>
      </w:pPr>
    </w:p>
    <w:p w14:paraId="050A148E" w14:textId="77777777" w:rsidR="003679FA" w:rsidRPr="003679FA" w:rsidRDefault="003679FA">
      <w:pPr>
        <w:spacing w:after="160" w:line="259" w:lineRule="auto"/>
        <w:contextualSpacing w:val="0"/>
        <w:rPr>
          <w:rFonts w:ascii="Trebuchet MS" w:eastAsia="Calibri" w:hAnsi="Trebuchet MS" w:cs="Calibri"/>
          <w:u w:val="single"/>
        </w:rPr>
      </w:pPr>
    </w:p>
    <w:p w14:paraId="6EC339E4" w14:textId="77777777" w:rsidR="000B5CDD" w:rsidRPr="003679FA" w:rsidRDefault="00654636">
      <w:pPr>
        <w:spacing w:after="160" w:line="259" w:lineRule="auto"/>
        <w:contextualSpacing w:val="0"/>
        <w:rPr>
          <w:rFonts w:ascii="Trebuchet MS" w:eastAsia="Calibri" w:hAnsi="Trebuchet MS" w:cs="Calibri"/>
          <w:u w:val="single"/>
        </w:rPr>
      </w:pPr>
      <w:r w:rsidRPr="003679FA">
        <w:rPr>
          <w:rFonts w:ascii="Trebuchet MS" w:eastAsia="Calibri" w:hAnsi="Trebuchet MS" w:cs="Calibri"/>
          <w:u w:val="single"/>
        </w:rPr>
        <w:t>CON-2: Federalism reflects the dynamic distribution of power between national and state governments</w:t>
      </w:r>
    </w:p>
    <w:p w14:paraId="5290C368" w14:textId="77777777" w:rsidR="000B5CDD" w:rsidRPr="003679FA" w:rsidRDefault="00654636" w:rsidP="00FE24A1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highlight w:val="yellow"/>
        </w:rPr>
      </w:pPr>
      <w:r w:rsidRPr="003679FA">
        <w:rPr>
          <w:rFonts w:ascii="Trebuchet MS" w:eastAsia="Calibri" w:hAnsi="Trebuchet MS" w:cs="Calibri"/>
          <w:i/>
          <w:highlight w:val="yellow"/>
        </w:rPr>
        <w:t>McCulloch v. Maryland</w:t>
      </w:r>
      <w:r w:rsidRPr="003679FA">
        <w:rPr>
          <w:rFonts w:ascii="Trebuchet MS" w:eastAsia="Calibri" w:hAnsi="Trebuchet MS" w:cs="Calibri"/>
          <w:highlight w:val="yellow"/>
        </w:rPr>
        <w:t xml:space="preserve"> (1819)</w:t>
      </w:r>
    </w:p>
    <w:p w14:paraId="16A5560F" w14:textId="77777777" w:rsidR="00FE24A1" w:rsidRPr="003679FA" w:rsidRDefault="00FE24A1" w:rsidP="00FE24A1">
      <w:pPr>
        <w:pStyle w:val="ListParagraph"/>
        <w:numPr>
          <w:ilvl w:val="0"/>
          <w:numId w:val="1"/>
        </w:numPr>
        <w:spacing w:line="240" w:lineRule="auto"/>
        <w:ind w:left="2160"/>
        <w:contextualSpacing w:val="0"/>
        <w:rPr>
          <w:rFonts w:ascii="Trebuchet MS" w:eastAsia="Calibri" w:hAnsi="Trebuchet MS" w:cs="Calibri"/>
        </w:rPr>
      </w:pPr>
      <w:r w:rsidRPr="003679FA">
        <w:rPr>
          <w:rFonts w:ascii="Trebuchet MS" w:eastAsia="Calibri" w:hAnsi="Trebuchet MS" w:cs="Calibri"/>
          <w:i/>
        </w:rPr>
        <w:t>Gibbons v. Ogden</w:t>
      </w:r>
      <w:r w:rsidRPr="003679FA">
        <w:rPr>
          <w:rFonts w:ascii="Trebuchet MS" w:eastAsia="Calibri" w:hAnsi="Trebuchet MS" w:cs="Calibri"/>
        </w:rPr>
        <w:t xml:space="preserve"> (1824)</w:t>
      </w:r>
    </w:p>
    <w:p w14:paraId="5FE338CA" w14:textId="77777777" w:rsidR="00FE24A1" w:rsidRPr="003679FA" w:rsidRDefault="00FE24A1" w:rsidP="00FE24A1">
      <w:pPr>
        <w:pStyle w:val="ListParagraph"/>
        <w:numPr>
          <w:ilvl w:val="0"/>
          <w:numId w:val="1"/>
        </w:numPr>
        <w:spacing w:line="240" w:lineRule="auto"/>
        <w:ind w:left="2160"/>
        <w:contextualSpacing w:val="0"/>
        <w:rPr>
          <w:rFonts w:ascii="Trebuchet MS" w:eastAsia="Calibri" w:hAnsi="Trebuchet MS" w:cs="Calibri"/>
        </w:rPr>
      </w:pPr>
      <w:r w:rsidRPr="003679FA">
        <w:rPr>
          <w:rFonts w:ascii="Trebuchet MS" w:eastAsia="Calibri" w:hAnsi="Trebuchet MS" w:cs="Calibri"/>
          <w:i/>
        </w:rPr>
        <w:t>Wickard v. Filburn</w:t>
      </w:r>
      <w:r w:rsidRPr="003679FA">
        <w:rPr>
          <w:rFonts w:ascii="Trebuchet MS" w:eastAsia="Calibri" w:hAnsi="Trebuchet MS" w:cs="Calibri"/>
        </w:rPr>
        <w:t xml:space="preserve"> (1942)</w:t>
      </w:r>
    </w:p>
    <w:p w14:paraId="2B069831" w14:textId="77777777" w:rsidR="00211389" w:rsidRPr="003679FA" w:rsidRDefault="00654636" w:rsidP="00FE24A1">
      <w:pPr>
        <w:pStyle w:val="ListParagraph"/>
        <w:numPr>
          <w:ilvl w:val="0"/>
          <w:numId w:val="1"/>
        </w:numPr>
        <w:spacing w:line="240" w:lineRule="auto"/>
        <w:ind w:left="2160"/>
        <w:contextualSpacing w:val="0"/>
        <w:rPr>
          <w:rFonts w:ascii="Trebuchet MS" w:eastAsia="Calibri" w:hAnsi="Trebuchet MS" w:cs="Calibri"/>
        </w:rPr>
      </w:pPr>
      <w:r w:rsidRPr="003679FA">
        <w:rPr>
          <w:rFonts w:ascii="Trebuchet MS" w:eastAsia="Calibri" w:hAnsi="Trebuchet MS" w:cs="Calibri"/>
          <w:i/>
        </w:rPr>
        <w:t xml:space="preserve">United States v. Comstock </w:t>
      </w:r>
      <w:r w:rsidR="00211389" w:rsidRPr="003679FA">
        <w:rPr>
          <w:rFonts w:ascii="Trebuchet MS" w:eastAsia="Calibri" w:hAnsi="Trebuchet MS" w:cs="Calibri"/>
        </w:rPr>
        <w:t>(2010)</w:t>
      </w:r>
    </w:p>
    <w:p w14:paraId="37095E7A" w14:textId="77777777" w:rsidR="00FE24A1" w:rsidRPr="003679FA" w:rsidRDefault="00654636" w:rsidP="00FE24A1">
      <w:pPr>
        <w:pStyle w:val="ListParagraph"/>
        <w:numPr>
          <w:ilvl w:val="0"/>
          <w:numId w:val="1"/>
        </w:numPr>
        <w:spacing w:line="240" w:lineRule="auto"/>
        <w:ind w:left="2160"/>
        <w:contextualSpacing w:val="0"/>
        <w:rPr>
          <w:rFonts w:ascii="Trebuchet MS" w:eastAsia="Calibri" w:hAnsi="Trebuchet MS" w:cs="Calibri"/>
        </w:rPr>
      </w:pPr>
      <w:r w:rsidRPr="003679FA">
        <w:rPr>
          <w:rFonts w:ascii="Trebuchet MS" w:eastAsia="Calibri" w:hAnsi="Trebuchet MS" w:cs="Calibri"/>
          <w:i/>
        </w:rPr>
        <w:t>Watters v. Wachovia Bank, N.A</w:t>
      </w:r>
      <w:r w:rsidR="00211389" w:rsidRPr="003679FA">
        <w:rPr>
          <w:rFonts w:ascii="Trebuchet MS" w:eastAsia="Calibri" w:hAnsi="Trebuchet MS" w:cs="Calibri"/>
          <w:i/>
        </w:rPr>
        <w:t xml:space="preserve"> </w:t>
      </w:r>
      <w:r w:rsidR="00211389" w:rsidRPr="003679FA">
        <w:rPr>
          <w:rFonts w:ascii="Trebuchet MS" w:eastAsia="Calibri" w:hAnsi="Trebuchet MS" w:cs="Calibri"/>
        </w:rPr>
        <w:t>(2007)</w:t>
      </w:r>
    </w:p>
    <w:p w14:paraId="7D7A3D84" w14:textId="77777777" w:rsidR="00FE24A1" w:rsidRPr="003679FA" w:rsidRDefault="00FE24A1" w:rsidP="00FE24A1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i/>
          <w:highlight w:val="yellow"/>
        </w:rPr>
      </w:pPr>
    </w:p>
    <w:p w14:paraId="5596F0EE" w14:textId="77777777" w:rsidR="000B5CDD" w:rsidRPr="003679FA" w:rsidRDefault="00654636" w:rsidP="00FE24A1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highlight w:val="yellow"/>
        </w:rPr>
      </w:pPr>
      <w:r w:rsidRPr="003679FA">
        <w:rPr>
          <w:rFonts w:ascii="Trebuchet MS" w:eastAsia="Calibri" w:hAnsi="Trebuchet MS" w:cs="Calibri"/>
          <w:i/>
          <w:highlight w:val="yellow"/>
        </w:rPr>
        <w:t>United States v. Lopez</w:t>
      </w:r>
      <w:r w:rsidRPr="003679FA">
        <w:rPr>
          <w:rFonts w:ascii="Trebuchet MS" w:eastAsia="Calibri" w:hAnsi="Trebuchet MS" w:cs="Calibri"/>
          <w:highlight w:val="yellow"/>
        </w:rPr>
        <w:t xml:space="preserve"> (1995)</w:t>
      </w:r>
    </w:p>
    <w:p w14:paraId="1AA5BD98" w14:textId="77777777" w:rsidR="00FE24A1" w:rsidRPr="003679FA" w:rsidRDefault="00FE24A1" w:rsidP="00FE24A1">
      <w:pPr>
        <w:pStyle w:val="ListParagraph"/>
        <w:numPr>
          <w:ilvl w:val="1"/>
          <w:numId w:val="3"/>
        </w:numPr>
        <w:spacing w:line="259" w:lineRule="auto"/>
        <w:ind w:left="2160"/>
        <w:contextualSpacing w:val="0"/>
        <w:rPr>
          <w:rFonts w:ascii="Trebuchet MS" w:eastAsia="Calibri" w:hAnsi="Trebuchet MS" w:cs="Calibri"/>
          <w:i/>
        </w:rPr>
      </w:pPr>
      <w:r w:rsidRPr="003679FA">
        <w:rPr>
          <w:rFonts w:ascii="Trebuchet MS" w:eastAsia="Calibri" w:hAnsi="Trebuchet MS" w:cs="Calibri"/>
          <w:i/>
        </w:rPr>
        <w:t xml:space="preserve">Heart of Atlanta, Inc. v. US </w:t>
      </w:r>
      <w:r w:rsidRPr="003679FA">
        <w:rPr>
          <w:rFonts w:ascii="Trebuchet MS" w:eastAsia="Calibri" w:hAnsi="Trebuchet MS" w:cs="Calibri"/>
        </w:rPr>
        <w:t>(1964)</w:t>
      </w:r>
    </w:p>
    <w:p w14:paraId="63672F9B" w14:textId="77777777" w:rsidR="00FE24A1" w:rsidRPr="003679FA" w:rsidRDefault="00654636" w:rsidP="00FE24A1">
      <w:pPr>
        <w:pStyle w:val="ListParagraph"/>
        <w:numPr>
          <w:ilvl w:val="1"/>
          <w:numId w:val="3"/>
        </w:numPr>
        <w:spacing w:line="259" w:lineRule="auto"/>
        <w:ind w:left="2160"/>
        <w:contextualSpacing w:val="0"/>
        <w:rPr>
          <w:rFonts w:ascii="Trebuchet MS" w:eastAsia="Calibri" w:hAnsi="Trebuchet MS" w:cs="Calibri"/>
        </w:rPr>
      </w:pPr>
      <w:r w:rsidRPr="003679FA">
        <w:rPr>
          <w:rFonts w:ascii="Trebuchet MS" w:eastAsia="Calibri" w:hAnsi="Trebuchet MS" w:cs="Calibri"/>
          <w:i/>
        </w:rPr>
        <w:t xml:space="preserve">Gonzales v. Raich - </w:t>
      </w:r>
      <w:r w:rsidRPr="003679FA">
        <w:rPr>
          <w:rFonts w:ascii="Trebuchet MS" w:eastAsia="Calibri" w:hAnsi="Trebuchet MS" w:cs="Calibri"/>
        </w:rPr>
        <w:t>(2005)</w:t>
      </w:r>
    </w:p>
    <w:p w14:paraId="089A40C7" w14:textId="77777777" w:rsidR="00FE24A1" w:rsidRPr="003679FA" w:rsidRDefault="00654636" w:rsidP="00FE24A1">
      <w:pPr>
        <w:pStyle w:val="ListParagraph"/>
        <w:numPr>
          <w:ilvl w:val="1"/>
          <w:numId w:val="3"/>
        </w:numPr>
        <w:spacing w:line="259" w:lineRule="auto"/>
        <w:ind w:left="2160"/>
        <w:contextualSpacing w:val="0"/>
        <w:rPr>
          <w:rFonts w:ascii="Trebuchet MS" w:eastAsia="Calibri" w:hAnsi="Trebuchet MS" w:cs="Calibri"/>
        </w:rPr>
      </w:pPr>
      <w:r w:rsidRPr="003679FA">
        <w:rPr>
          <w:rFonts w:ascii="Trebuchet MS" w:eastAsia="Calibri" w:hAnsi="Trebuchet MS" w:cs="Calibri"/>
          <w:i/>
        </w:rPr>
        <w:t>United States v. Morrison</w:t>
      </w:r>
      <w:r w:rsidRPr="003679FA">
        <w:rPr>
          <w:rFonts w:ascii="Trebuchet MS" w:eastAsia="Calibri" w:hAnsi="Trebuchet MS" w:cs="Calibri"/>
        </w:rPr>
        <w:t xml:space="preserve"> (2000)</w:t>
      </w:r>
    </w:p>
    <w:p w14:paraId="20B3C240" w14:textId="77777777" w:rsidR="000B5CDD" w:rsidRPr="003679FA" w:rsidRDefault="00FE24A1" w:rsidP="00FE24A1">
      <w:pPr>
        <w:pStyle w:val="ListParagraph"/>
        <w:numPr>
          <w:ilvl w:val="1"/>
          <w:numId w:val="3"/>
        </w:numPr>
        <w:spacing w:line="259" w:lineRule="auto"/>
        <w:ind w:left="2160"/>
        <w:contextualSpacing w:val="0"/>
        <w:rPr>
          <w:rFonts w:ascii="Trebuchet MS" w:eastAsia="Calibri" w:hAnsi="Trebuchet MS" w:cs="Calibri"/>
        </w:rPr>
      </w:pPr>
      <w:r w:rsidRPr="003679FA">
        <w:rPr>
          <w:rFonts w:ascii="Trebuchet MS" w:eastAsia="Calibri" w:hAnsi="Trebuchet MS" w:cs="Calibri"/>
          <w:i/>
        </w:rPr>
        <w:t xml:space="preserve">National Foundation of Independent Business v. Sebelius </w:t>
      </w:r>
      <w:r w:rsidRPr="003679FA">
        <w:rPr>
          <w:rFonts w:ascii="Trebuchet MS" w:eastAsia="Calibri" w:hAnsi="Trebuchet MS" w:cs="Calibri"/>
        </w:rPr>
        <w:t>(2012)</w:t>
      </w:r>
    </w:p>
    <w:p w14:paraId="2B2FCE51" w14:textId="77777777" w:rsidR="00FE24A1" w:rsidRPr="003679FA" w:rsidRDefault="00FE24A1">
      <w:pPr>
        <w:spacing w:line="259" w:lineRule="auto"/>
        <w:ind w:left="720"/>
        <w:contextualSpacing w:val="0"/>
        <w:rPr>
          <w:rFonts w:ascii="Trebuchet MS" w:eastAsia="Calibri" w:hAnsi="Trebuchet MS" w:cs="Calibri"/>
        </w:rPr>
      </w:pPr>
    </w:p>
    <w:p w14:paraId="640AD4B0" w14:textId="77777777" w:rsidR="00CA5ACF" w:rsidRPr="00211389" w:rsidRDefault="00CA5ACF" w:rsidP="00CA5ACF">
      <w:pPr>
        <w:spacing w:after="160" w:line="259" w:lineRule="auto"/>
        <w:contextualSpacing w:val="0"/>
        <w:rPr>
          <w:rFonts w:ascii="Trebuchet MS" w:eastAsia="Calibri" w:hAnsi="Trebuchet MS" w:cs="Calibri"/>
          <w:szCs w:val="24"/>
          <w:u w:val="single"/>
        </w:rPr>
      </w:pPr>
      <w:r w:rsidRPr="00211389">
        <w:rPr>
          <w:rFonts w:ascii="Trebuchet MS" w:eastAsia="Calibri" w:hAnsi="Trebuchet MS" w:cs="Calibri"/>
          <w:szCs w:val="24"/>
          <w:u w:val="single"/>
        </w:rPr>
        <w:t xml:space="preserve">CON-3: The republican ideal in the U.S. is manifested in the structure and operation of the legislative branch </w:t>
      </w:r>
    </w:p>
    <w:p w14:paraId="0E8E46EC" w14:textId="77777777" w:rsidR="00CA5ACF" w:rsidRPr="00211389" w:rsidRDefault="00CA5ACF" w:rsidP="00CA5ACF">
      <w:pPr>
        <w:tabs>
          <w:tab w:val="left" w:pos="2460"/>
        </w:tabs>
        <w:spacing w:after="160" w:line="259" w:lineRule="auto"/>
        <w:ind w:left="720"/>
        <w:contextualSpacing w:val="0"/>
        <w:rPr>
          <w:rFonts w:ascii="Trebuchet MS" w:eastAsia="Calibri" w:hAnsi="Trebuchet MS" w:cs="Calibri"/>
          <w:szCs w:val="24"/>
          <w:highlight w:val="yellow"/>
        </w:rPr>
      </w:pPr>
      <w:r w:rsidRPr="00211389">
        <w:rPr>
          <w:rFonts w:ascii="Trebuchet MS" w:eastAsia="Calibri" w:hAnsi="Trebuchet MS" w:cs="Calibri"/>
          <w:i/>
          <w:szCs w:val="24"/>
          <w:highlight w:val="yellow"/>
        </w:rPr>
        <w:t>Baker v. Carr</w:t>
      </w:r>
      <w:r w:rsidRPr="00211389">
        <w:rPr>
          <w:rFonts w:ascii="Trebuchet MS" w:eastAsia="Calibri" w:hAnsi="Trebuchet MS" w:cs="Calibri"/>
          <w:szCs w:val="24"/>
          <w:highlight w:val="yellow"/>
        </w:rPr>
        <w:t xml:space="preserve"> (1962)</w:t>
      </w:r>
      <w:r w:rsidRPr="00211389">
        <w:rPr>
          <w:rFonts w:ascii="Trebuchet MS" w:eastAsia="Calibri" w:hAnsi="Trebuchet MS" w:cs="Calibri"/>
          <w:szCs w:val="24"/>
          <w:highlight w:val="yellow"/>
        </w:rPr>
        <w:tab/>
      </w:r>
    </w:p>
    <w:p w14:paraId="03437D31" w14:textId="77777777" w:rsidR="00F2504A" w:rsidRPr="00CA5ACF" w:rsidRDefault="00F2504A" w:rsidP="00F2504A">
      <w:pPr>
        <w:pStyle w:val="ListParagraph"/>
        <w:numPr>
          <w:ilvl w:val="0"/>
          <w:numId w:val="8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F2504A">
        <w:rPr>
          <w:rFonts w:ascii="Trebuchet MS" w:eastAsia="Calibri" w:hAnsi="Trebuchet MS" w:cs="Calibri"/>
          <w:i/>
          <w:szCs w:val="24"/>
        </w:rPr>
        <w:t>Davis v Bandemer</w:t>
      </w:r>
      <w:r>
        <w:rPr>
          <w:rFonts w:ascii="Trebuchet MS" w:eastAsia="Calibri" w:hAnsi="Trebuchet MS" w:cs="Calibri"/>
          <w:szCs w:val="24"/>
        </w:rPr>
        <w:t xml:space="preserve"> (1986)</w:t>
      </w:r>
    </w:p>
    <w:p w14:paraId="4F266FC8" w14:textId="77777777" w:rsidR="00F2504A" w:rsidRDefault="00F2504A" w:rsidP="00F2504A">
      <w:pPr>
        <w:pStyle w:val="ListParagraph"/>
        <w:numPr>
          <w:ilvl w:val="0"/>
          <w:numId w:val="8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A5ACF">
        <w:rPr>
          <w:rFonts w:ascii="Trebuchet MS" w:eastAsia="Calibri" w:hAnsi="Trebuchet MS" w:cs="Calibri"/>
          <w:i/>
          <w:szCs w:val="24"/>
        </w:rPr>
        <w:t>De</w:t>
      </w:r>
      <w:r>
        <w:rPr>
          <w:rFonts w:ascii="Trebuchet MS" w:eastAsia="Calibri" w:hAnsi="Trebuchet MS" w:cs="Calibri"/>
          <w:i/>
          <w:szCs w:val="24"/>
        </w:rPr>
        <w:t>partment of Commerce v. Montana</w:t>
      </w:r>
      <w:r w:rsidRPr="00CA5ACF">
        <w:rPr>
          <w:rFonts w:ascii="Trebuchet MS" w:eastAsia="Calibri" w:hAnsi="Trebuchet MS" w:cs="Calibri"/>
          <w:i/>
          <w:szCs w:val="24"/>
        </w:rPr>
        <w:t xml:space="preserve"> </w:t>
      </w:r>
      <w:r w:rsidRPr="00CA5ACF">
        <w:rPr>
          <w:rFonts w:ascii="Trebuchet MS" w:eastAsia="Calibri" w:hAnsi="Trebuchet MS" w:cs="Calibri"/>
          <w:szCs w:val="24"/>
        </w:rPr>
        <w:t xml:space="preserve">(1992) </w:t>
      </w:r>
    </w:p>
    <w:p w14:paraId="109B213B" w14:textId="77777777" w:rsidR="00154DAC" w:rsidRDefault="00154DAC" w:rsidP="00F2504A">
      <w:pPr>
        <w:pStyle w:val="ListParagraph"/>
        <w:numPr>
          <w:ilvl w:val="0"/>
          <w:numId w:val="8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>
        <w:rPr>
          <w:rFonts w:ascii="Trebuchet MS" w:eastAsia="Calibri" w:hAnsi="Trebuchet MS" w:cs="Calibri"/>
          <w:i/>
          <w:szCs w:val="24"/>
        </w:rPr>
        <w:t xml:space="preserve">Shelby County v. Holder </w:t>
      </w:r>
      <w:r w:rsidRPr="00154DAC">
        <w:rPr>
          <w:rFonts w:ascii="Trebuchet MS" w:eastAsia="Calibri" w:hAnsi="Trebuchet MS" w:cs="Calibri"/>
          <w:szCs w:val="24"/>
        </w:rPr>
        <w:t>(2013)</w:t>
      </w:r>
    </w:p>
    <w:p w14:paraId="2A56892F" w14:textId="77777777" w:rsidR="00CA5ACF" w:rsidRPr="00CA5ACF" w:rsidRDefault="00F2504A" w:rsidP="00CA5ACF">
      <w:pPr>
        <w:pStyle w:val="ListParagraph"/>
        <w:numPr>
          <w:ilvl w:val="0"/>
          <w:numId w:val="8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>
        <w:rPr>
          <w:rFonts w:ascii="Trebuchet MS" w:eastAsia="Calibri" w:hAnsi="Trebuchet MS" w:cs="Calibri"/>
          <w:i/>
          <w:szCs w:val="24"/>
        </w:rPr>
        <w:t>Evenwell v. Abbott</w:t>
      </w:r>
      <w:r w:rsidR="00CA5ACF" w:rsidRPr="00CA5ACF">
        <w:rPr>
          <w:rFonts w:ascii="Trebuchet MS" w:eastAsia="Calibri" w:hAnsi="Trebuchet MS" w:cs="Calibri"/>
          <w:i/>
          <w:szCs w:val="24"/>
        </w:rPr>
        <w:t xml:space="preserve"> </w:t>
      </w:r>
      <w:r w:rsidR="00CA5ACF" w:rsidRPr="00CA5ACF">
        <w:rPr>
          <w:rFonts w:ascii="Trebuchet MS" w:eastAsia="Calibri" w:hAnsi="Trebuchet MS" w:cs="Calibri"/>
          <w:szCs w:val="24"/>
        </w:rPr>
        <w:t>(2016)</w:t>
      </w:r>
    </w:p>
    <w:p w14:paraId="54D9A51E" w14:textId="77777777" w:rsidR="00F2504A" w:rsidRPr="00F2504A" w:rsidRDefault="00F2504A" w:rsidP="00F2504A">
      <w:pPr>
        <w:pStyle w:val="ListParagraph"/>
        <w:numPr>
          <w:ilvl w:val="0"/>
          <w:numId w:val="8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F2504A">
        <w:rPr>
          <w:rFonts w:ascii="Trebuchet MS" w:eastAsia="Calibri" w:hAnsi="Trebuchet MS" w:cs="Calibri"/>
          <w:i/>
          <w:szCs w:val="24"/>
        </w:rPr>
        <w:t>Cooper v. Harris</w:t>
      </w:r>
      <w:r>
        <w:rPr>
          <w:rFonts w:ascii="Trebuchet MS" w:eastAsia="Calibri" w:hAnsi="Trebuchet MS" w:cs="Calibri"/>
          <w:szCs w:val="24"/>
        </w:rPr>
        <w:t xml:space="preserve"> (2017)</w:t>
      </w:r>
    </w:p>
    <w:p w14:paraId="3CA04FF5" w14:textId="77777777" w:rsidR="00F2504A" w:rsidRDefault="00F2504A" w:rsidP="00CA5ACF">
      <w:pPr>
        <w:pStyle w:val="ListParagraph"/>
        <w:numPr>
          <w:ilvl w:val="0"/>
          <w:numId w:val="8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F2504A">
        <w:rPr>
          <w:rFonts w:ascii="Trebuchet MS" w:eastAsia="Calibri" w:hAnsi="Trebuchet MS" w:cs="Calibri"/>
          <w:i/>
          <w:szCs w:val="24"/>
        </w:rPr>
        <w:t>Benisek v. Lamone</w:t>
      </w:r>
      <w:r w:rsidRPr="00F2504A">
        <w:rPr>
          <w:rFonts w:ascii="Trebuchet MS" w:eastAsia="Calibri" w:hAnsi="Trebuchet MS" w:cs="Calibri"/>
          <w:szCs w:val="24"/>
        </w:rPr>
        <w:t xml:space="preserve"> (2018)</w:t>
      </w:r>
    </w:p>
    <w:p w14:paraId="6D283E98" w14:textId="77777777" w:rsidR="00CA5ACF" w:rsidRPr="00211389" w:rsidRDefault="00CA5ACF" w:rsidP="00CA5ACF">
      <w:pPr>
        <w:tabs>
          <w:tab w:val="left" w:pos="2460"/>
        </w:tabs>
        <w:spacing w:after="160" w:line="259" w:lineRule="auto"/>
        <w:contextualSpacing w:val="0"/>
        <w:rPr>
          <w:rFonts w:ascii="Trebuchet MS" w:eastAsia="Calibri" w:hAnsi="Trebuchet MS" w:cs="Calibri"/>
          <w:szCs w:val="24"/>
        </w:rPr>
      </w:pPr>
    </w:p>
    <w:p w14:paraId="3BF65032" w14:textId="77777777" w:rsidR="00CA5ACF" w:rsidRPr="00211389" w:rsidRDefault="00CA5ACF" w:rsidP="00CA5ACF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szCs w:val="24"/>
          <w:highlight w:val="yellow"/>
        </w:rPr>
      </w:pPr>
      <w:r w:rsidRPr="00211389">
        <w:rPr>
          <w:rFonts w:ascii="Trebuchet MS" w:eastAsia="Calibri" w:hAnsi="Trebuchet MS" w:cs="Calibri"/>
          <w:i/>
          <w:szCs w:val="24"/>
          <w:highlight w:val="yellow"/>
        </w:rPr>
        <w:t>Shaw v. Reno</w:t>
      </w:r>
      <w:r w:rsidRPr="00211389">
        <w:rPr>
          <w:rFonts w:ascii="Trebuchet MS" w:eastAsia="Calibri" w:hAnsi="Trebuchet MS" w:cs="Calibri"/>
          <w:szCs w:val="24"/>
          <w:highlight w:val="yellow"/>
        </w:rPr>
        <w:t xml:space="preserve"> (1993)</w:t>
      </w:r>
    </w:p>
    <w:p w14:paraId="736F551E" w14:textId="77777777" w:rsidR="00F2504A" w:rsidRPr="00F2504A" w:rsidRDefault="00F2504A" w:rsidP="00F2504A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F2504A">
        <w:rPr>
          <w:rFonts w:ascii="Trebuchet MS" w:eastAsia="Calibri" w:hAnsi="Trebuchet MS" w:cs="Calibri"/>
          <w:szCs w:val="24"/>
        </w:rPr>
        <w:t>Wright v. Rockefeller (1964)</w:t>
      </w:r>
    </w:p>
    <w:p w14:paraId="112160A1" w14:textId="77777777" w:rsidR="00CA5ACF" w:rsidRDefault="00CA5ACF" w:rsidP="00CA5ACF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A5ACF">
        <w:rPr>
          <w:rFonts w:ascii="Trebuchet MS" w:eastAsia="Calibri" w:hAnsi="Trebuchet MS" w:cs="Calibri"/>
          <w:i/>
          <w:szCs w:val="24"/>
        </w:rPr>
        <w:t>Miller v. Johnson</w:t>
      </w:r>
      <w:r w:rsidRPr="00CA5ACF">
        <w:rPr>
          <w:rFonts w:ascii="Trebuchet MS" w:eastAsia="Calibri" w:hAnsi="Trebuchet MS" w:cs="Calibri"/>
          <w:szCs w:val="24"/>
        </w:rPr>
        <w:t xml:space="preserve"> (1995)</w:t>
      </w:r>
    </w:p>
    <w:p w14:paraId="4884B65D" w14:textId="77777777" w:rsidR="00F2504A" w:rsidRPr="00F2504A" w:rsidRDefault="00F2504A" w:rsidP="00F2504A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F2504A">
        <w:rPr>
          <w:rFonts w:ascii="Trebuchet MS" w:eastAsia="Calibri" w:hAnsi="Trebuchet MS" w:cs="Calibri"/>
          <w:i/>
          <w:szCs w:val="24"/>
        </w:rPr>
        <w:t>Bush v. Vera</w:t>
      </w:r>
      <w:r w:rsidRPr="00F2504A">
        <w:rPr>
          <w:rFonts w:ascii="Trebuchet MS" w:eastAsia="Calibri" w:hAnsi="Trebuchet MS" w:cs="Calibri"/>
          <w:szCs w:val="24"/>
        </w:rPr>
        <w:t xml:space="preserve"> (1996)</w:t>
      </w:r>
    </w:p>
    <w:p w14:paraId="2654D844" w14:textId="77777777" w:rsidR="00F2504A" w:rsidRPr="00F2504A" w:rsidRDefault="00F2504A" w:rsidP="00F2504A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F2504A">
        <w:rPr>
          <w:rFonts w:ascii="Trebuchet MS" w:eastAsia="Calibri" w:hAnsi="Trebuchet MS" w:cs="Calibri"/>
          <w:i/>
          <w:szCs w:val="24"/>
        </w:rPr>
        <w:t>Hunt v. Cromartie</w:t>
      </w:r>
      <w:r w:rsidRPr="00F2504A">
        <w:rPr>
          <w:rFonts w:ascii="Trebuchet MS" w:eastAsia="Calibri" w:hAnsi="Trebuchet MS" w:cs="Calibri"/>
          <w:szCs w:val="24"/>
        </w:rPr>
        <w:t xml:space="preserve"> (2001)</w:t>
      </w:r>
    </w:p>
    <w:p w14:paraId="1FF97150" w14:textId="77777777" w:rsidR="00F2504A" w:rsidRPr="00CA5ACF" w:rsidRDefault="00F2504A" w:rsidP="00F2504A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A5ACF">
        <w:rPr>
          <w:rFonts w:ascii="Trebuchet MS" w:eastAsia="Calibri" w:hAnsi="Trebuchet MS" w:cs="Calibri"/>
          <w:i/>
          <w:szCs w:val="24"/>
        </w:rPr>
        <w:t>Alabama Legislative Black Caucus v. Alabama</w:t>
      </w:r>
      <w:r w:rsidRPr="00CA5ACF">
        <w:rPr>
          <w:rFonts w:ascii="Trebuchet MS" w:eastAsia="Calibri" w:hAnsi="Trebuchet MS" w:cs="Calibri"/>
          <w:szCs w:val="24"/>
        </w:rPr>
        <w:t xml:space="preserve"> (2015)</w:t>
      </w:r>
    </w:p>
    <w:p w14:paraId="3F7CBDEA" w14:textId="77777777" w:rsidR="00F2504A" w:rsidRPr="00CA5ACF" w:rsidRDefault="00F2504A" w:rsidP="00F2504A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F2504A">
        <w:rPr>
          <w:rFonts w:ascii="Trebuchet MS" w:eastAsia="Calibri" w:hAnsi="Trebuchet MS" w:cs="Calibri"/>
          <w:i/>
          <w:szCs w:val="24"/>
        </w:rPr>
        <w:t xml:space="preserve">Gill v. Whitford </w:t>
      </w:r>
      <w:r w:rsidRPr="00F2504A">
        <w:rPr>
          <w:rFonts w:ascii="Trebuchet MS" w:eastAsia="Calibri" w:hAnsi="Trebuchet MS" w:cs="Calibri"/>
          <w:szCs w:val="24"/>
        </w:rPr>
        <w:t>(2018)</w:t>
      </w:r>
    </w:p>
    <w:p w14:paraId="2F8E8829" w14:textId="77777777" w:rsidR="00CA5ACF" w:rsidRPr="00211389" w:rsidRDefault="00CA5ACF" w:rsidP="00CA5ACF">
      <w:pPr>
        <w:spacing w:after="160" w:line="259" w:lineRule="auto"/>
        <w:contextualSpacing w:val="0"/>
        <w:rPr>
          <w:rFonts w:ascii="Trebuchet MS" w:eastAsia="Calibri" w:hAnsi="Trebuchet MS" w:cs="Calibri"/>
          <w:szCs w:val="24"/>
          <w:u w:val="single"/>
        </w:rPr>
      </w:pPr>
    </w:p>
    <w:p w14:paraId="0A0A51AF" w14:textId="77777777" w:rsidR="00CA5ACF" w:rsidRPr="00211389" w:rsidRDefault="00CA5ACF" w:rsidP="00CA5ACF">
      <w:pPr>
        <w:spacing w:after="160" w:line="259" w:lineRule="auto"/>
        <w:contextualSpacing w:val="0"/>
        <w:rPr>
          <w:rFonts w:ascii="Trebuchet MS" w:eastAsia="Calibri" w:hAnsi="Trebuchet MS" w:cs="Calibri"/>
          <w:szCs w:val="24"/>
          <w:u w:val="single"/>
        </w:rPr>
      </w:pPr>
      <w:r w:rsidRPr="00211389">
        <w:rPr>
          <w:rFonts w:ascii="Trebuchet MS" w:eastAsia="Calibri" w:hAnsi="Trebuchet MS" w:cs="Calibri"/>
          <w:szCs w:val="24"/>
          <w:u w:val="single"/>
        </w:rPr>
        <w:t>CON-5: The design of the judicial branch protects the Supreme Court’s independence as a branch of government, and the emergence and use of judicial review remains a powerful judicial practice</w:t>
      </w:r>
    </w:p>
    <w:p w14:paraId="48EC504F" w14:textId="77777777" w:rsidR="00CA5ACF" w:rsidRPr="00211389" w:rsidRDefault="00CA5ACF" w:rsidP="00CA5ACF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szCs w:val="24"/>
          <w:highlight w:val="yellow"/>
        </w:rPr>
      </w:pPr>
      <w:r w:rsidRPr="00211389">
        <w:rPr>
          <w:rFonts w:ascii="Trebuchet MS" w:eastAsia="Calibri" w:hAnsi="Trebuchet MS" w:cs="Calibri"/>
          <w:i/>
          <w:szCs w:val="24"/>
          <w:highlight w:val="yellow"/>
        </w:rPr>
        <w:t>Marbury v. Madison</w:t>
      </w:r>
      <w:r w:rsidRPr="00211389">
        <w:rPr>
          <w:rFonts w:ascii="Trebuchet MS" w:eastAsia="Calibri" w:hAnsi="Trebuchet MS" w:cs="Calibri"/>
          <w:szCs w:val="24"/>
          <w:highlight w:val="yellow"/>
        </w:rPr>
        <w:t xml:space="preserve"> (1803)</w:t>
      </w:r>
    </w:p>
    <w:p w14:paraId="2CD1C735" w14:textId="77777777" w:rsidR="00154DAC" w:rsidRPr="00154DAC" w:rsidRDefault="00154DAC" w:rsidP="00CA5ACF">
      <w:pPr>
        <w:pStyle w:val="ListParagraph"/>
        <w:numPr>
          <w:ilvl w:val="0"/>
          <w:numId w:val="10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154DAC">
        <w:rPr>
          <w:rFonts w:ascii="Trebuchet MS" w:eastAsia="Calibri" w:hAnsi="Trebuchet MS" w:cs="Calibri"/>
          <w:i/>
          <w:szCs w:val="24"/>
        </w:rPr>
        <w:t>Dred Scott v. Sandford</w:t>
      </w:r>
      <w:r>
        <w:rPr>
          <w:rFonts w:ascii="Trebuchet MS" w:eastAsia="Calibri" w:hAnsi="Trebuchet MS" w:cs="Calibri"/>
          <w:szCs w:val="24"/>
        </w:rPr>
        <w:t xml:space="preserve"> (1857)</w:t>
      </w:r>
    </w:p>
    <w:p w14:paraId="06D4144C" w14:textId="77777777" w:rsidR="00CA5ACF" w:rsidRPr="00CA5ACF" w:rsidRDefault="00154DAC" w:rsidP="00CA5ACF">
      <w:pPr>
        <w:pStyle w:val="ListParagraph"/>
        <w:numPr>
          <w:ilvl w:val="0"/>
          <w:numId w:val="10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>
        <w:rPr>
          <w:rFonts w:ascii="Trebuchet MS" w:eastAsia="Calibri" w:hAnsi="Trebuchet MS" w:cs="Calibri"/>
          <w:i/>
          <w:szCs w:val="24"/>
        </w:rPr>
        <w:t>United States v. Nixon</w:t>
      </w:r>
      <w:r w:rsidR="00CA5ACF" w:rsidRPr="00CA5ACF">
        <w:rPr>
          <w:rFonts w:ascii="Trebuchet MS" w:eastAsia="Calibri" w:hAnsi="Trebuchet MS" w:cs="Calibri"/>
          <w:szCs w:val="24"/>
        </w:rPr>
        <w:t xml:space="preserve"> (1974)</w:t>
      </w:r>
    </w:p>
    <w:p w14:paraId="111B6B7F" w14:textId="77777777" w:rsidR="00CA5ACF" w:rsidRPr="00CA5ACF" w:rsidRDefault="00CA5ACF" w:rsidP="00CA5ACF">
      <w:pPr>
        <w:pStyle w:val="ListParagraph"/>
        <w:numPr>
          <w:ilvl w:val="0"/>
          <w:numId w:val="10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A5ACF">
        <w:rPr>
          <w:rFonts w:ascii="Trebuchet MS" w:eastAsia="Calibri" w:hAnsi="Trebuchet MS" w:cs="Calibri"/>
          <w:i/>
          <w:szCs w:val="24"/>
        </w:rPr>
        <w:t>United States v. Morrison</w:t>
      </w:r>
      <w:r w:rsidRPr="00CA5ACF">
        <w:rPr>
          <w:rFonts w:ascii="Trebuchet MS" w:eastAsia="Calibri" w:hAnsi="Trebuchet MS" w:cs="Calibri"/>
          <w:szCs w:val="24"/>
        </w:rPr>
        <w:t xml:space="preserve"> (2000)</w:t>
      </w:r>
    </w:p>
    <w:p w14:paraId="63F7B057" w14:textId="77777777" w:rsidR="00CA5ACF" w:rsidRDefault="00CA5ACF">
      <w:pPr>
        <w:spacing w:after="160" w:line="259" w:lineRule="auto"/>
        <w:contextualSpacing w:val="0"/>
        <w:rPr>
          <w:rFonts w:ascii="Trebuchet MS" w:eastAsia="Calibri" w:hAnsi="Trebuchet MS" w:cs="Calibri"/>
          <w:u w:val="single"/>
        </w:rPr>
      </w:pPr>
    </w:p>
    <w:p w14:paraId="3034E534" w14:textId="77777777" w:rsidR="00CA5ACF" w:rsidRDefault="00CA5ACF">
      <w:pPr>
        <w:spacing w:after="160" w:line="259" w:lineRule="auto"/>
        <w:contextualSpacing w:val="0"/>
        <w:rPr>
          <w:rFonts w:ascii="Trebuchet MS" w:eastAsia="Calibri" w:hAnsi="Trebuchet MS" w:cs="Calibri"/>
          <w:u w:val="single"/>
        </w:rPr>
      </w:pPr>
    </w:p>
    <w:p w14:paraId="7849CF6F" w14:textId="77777777" w:rsidR="000B5CDD" w:rsidRPr="003679FA" w:rsidRDefault="00654636">
      <w:pPr>
        <w:spacing w:after="160" w:line="259" w:lineRule="auto"/>
        <w:contextualSpacing w:val="0"/>
        <w:rPr>
          <w:rFonts w:ascii="Trebuchet MS" w:eastAsia="Calibri" w:hAnsi="Trebuchet MS" w:cs="Calibri"/>
          <w:u w:val="single"/>
        </w:rPr>
      </w:pPr>
      <w:r w:rsidRPr="003679FA">
        <w:rPr>
          <w:rFonts w:ascii="Trebuchet MS" w:eastAsia="Calibri" w:hAnsi="Trebuchet MS" w:cs="Calibri"/>
          <w:u w:val="single"/>
        </w:rPr>
        <w:lastRenderedPageBreak/>
        <w:t>LOR-2: Provisions of the U.S. Constitution’s Bill of Rights are continually being interpreted to balance the power of government and the civil liberties of individuals</w:t>
      </w:r>
    </w:p>
    <w:p w14:paraId="42A7C378" w14:textId="77777777" w:rsidR="000B5CDD" w:rsidRPr="003679FA" w:rsidRDefault="00654636" w:rsidP="00FE24A1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highlight w:val="yellow"/>
        </w:rPr>
      </w:pPr>
      <w:r w:rsidRPr="003679FA">
        <w:rPr>
          <w:rFonts w:ascii="Trebuchet MS" w:eastAsia="Calibri" w:hAnsi="Trebuchet MS" w:cs="Calibri"/>
          <w:i/>
          <w:highlight w:val="yellow"/>
        </w:rPr>
        <w:t>Engel v. Vitale</w:t>
      </w:r>
      <w:r w:rsidRPr="003679FA">
        <w:rPr>
          <w:rFonts w:ascii="Trebuchet MS" w:eastAsia="Calibri" w:hAnsi="Trebuchet MS" w:cs="Calibri"/>
          <w:highlight w:val="yellow"/>
        </w:rPr>
        <w:t xml:space="preserve"> (1962)</w:t>
      </w:r>
    </w:p>
    <w:p w14:paraId="3902AD08" w14:textId="77777777" w:rsidR="00FE24A1" w:rsidRPr="003679FA" w:rsidRDefault="00FE24A1" w:rsidP="00FE24A1">
      <w:pPr>
        <w:pStyle w:val="ListParagraph"/>
        <w:numPr>
          <w:ilvl w:val="1"/>
          <w:numId w:val="5"/>
        </w:numPr>
        <w:ind w:left="2160"/>
        <w:rPr>
          <w:rFonts w:ascii="Trebuchet MS" w:hAnsi="Trebuchet MS"/>
          <w:i/>
        </w:rPr>
      </w:pPr>
      <w:r w:rsidRPr="003679FA">
        <w:rPr>
          <w:rFonts w:ascii="Trebuchet MS" w:hAnsi="Trebuchet MS"/>
          <w:i/>
        </w:rPr>
        <w:t xml:space="preserve">West Virginia State Board of Ed. v. Barnett </w:t>
      </w:r>
      <w:r w:rsidRPr="003679FA">
        <w:rPr>
          <w:rFonts w:ascii="Trebuchet MS" w:hAnsi="Trebuchet MS"/>
        </w:rPr>
        <w:t>(1943)</w:t>
      </w:r>
    </w:p>
    <w:p w14:paraId="36B4EEF6" w14:textId="77777777" w:rsidR="000B5CDD" w:rsidRPr="003679FA" w:rsidRDefault="00654636" w:rsidP="00FE24A1">
      <w:pPr>
        <w:pStyle w:val="ListParagraph"/>
        <w:numPr>
          <w:ilvl w:val="1"/>
          <w:numId w:val="5"/>
        </w:numPr>
        <w:spacing w:line="259" w:lineRule="auto"/>
        <w:ind w:left="2160"/>
        <w:contextualSpacing w:val="0"/>
        <w:rPr>
          <w:rFonts w:ascii="Trebuchet MS" w:eastAsia="Calibri" w:hAnsi="Trebuchet MS" w:cs="Calibri"/>
        </w:rPr>
      </w:pPr>
      <w:r w:rsidRPr="003679FA">
        <w:rPr>
          <w:rFonts w:ascii="Trebuchet MS" w:eastAsia="Calibri" w:hAnsi="Trebuchet MS" w:cs="Calibri"/>
          <w:i/>
        </w:rPr>
        <w:t>Santa Fe Independent School Dist. v. Doe</w:t>
      </w:r>
      <w:r w:rsidRPr="003679FA">
        <w:rPr>
          <w:rFonts w:ascii="Trebuchet MS" w:eastAsia="Calibri" w:hAnsi="Trebuchet MS" w:cs="Calibri"/>
        </w:rPr>
        <w:t xml:space="preserve"> (2000)</w:t>
      </w:r>
    </w:p>
    <w:p w14:paraId="56403227" w14:textId="77777777" w:rsidR="003679FA" w:rsidRPr="003679FA" w:rsidRDefault="00FE24A1" w:rsidP="003679FA">
      <w:pPr>
        <w:pStyle w:val="ListParagraph"/>
        <w:numPr>
          <w:ilvl w:val="1"/>
          <w:numId w:val="5"/>
        </w:numPr>
        <w:spacing w:line="259" w:lineRule="auto"/>
        <w:ind w:left="2160"/>
        <w:contextualSpacing w:val="0"/>
        <w:rPr>
          <w:rFonts w:ascii="Trebuchet MS" w:eastAsia="Calibri" w:hAnsi="Trebuchet MS" w:cs="Calibri"/>
        </w:rPr>
      </w:pPr>
      <w:r w:rsidRPr="003679FA">
        <w:rPr>
          <w:rFonts w:ascii="Trebuchet MS" w:eastAsia="Calibri" w:hAnsi="Trebuchet MS" w:cs="Calibri"/>
          <w:i/>
        </w:rPr>
        <w:t xml:space="preserve">Good News Club v. Milford Central Schools </w:t>
      </w:r>
      <w:r w:rsidRPr="003679FA">
        <w:rPr>
          <w:rFonts w:ascii="Trebuchet MS" w:eastAsia="Calibri" w:hAnsi="Trebuchet MS" w:cs="Calibri"/>
        </w:rPr>
        <w:t>(2001)</w:t>
      </w:r>
      <w:r w:rsidR="003679FA" w:rsidRPr="003679FA">
        <w:rPr>
          <w:rFonts w:ascii="Trebuchet MS" w:eastAsia="Calibri" w:hAnsi="Trebuchet MS" w:cs="Calibri"/>
          <w:i/>
        </w:rPr>
        <w:t xml:space="preserve"> </w:t>
      </w:r>
    </w:p>
    <w:p w14:paraId="77D0D363" w14:textId="77777777" w:rsidR="003679FA" w:rsidRPr="003679FA" w:rsidRDefault="003679FA" w:rsidP="003679FA">
      <w:pPr>
        <w:pStyle w:val="ListParagraph"/>
        <w:numPr>
          <w:ilvl w:val="1"/>
          <w:numId w:val="5"/>
        </w:numPr>
        <w:spacing w:line="259" w:lineRule="auto"/>
        <w:ind w:left="2160"/>
        <w:contextualSpacing w:val="0"/>
        <w:rPr>
          <w:rFonts w:ascii="Trebuchet MS" w:eastAsia="Calibri" w:hAnsi="Trebuchet MS" w:cs="Calibri"/>
        </w:rPr>
      </w:pPr>
      <w:r w:rsidRPr="003679FA">
        <w:rPr>
          <w:rFonts w:ascii="Trebuchet MS" w:eastAsia="Calibri" w:hAnsi="Trebuchet MS" w:cs="Calibri"/>
          <w:i/>
        </w:rPr>
        <w:t>Van Orden v. Perry</w:t>
      </w:r>
      <w:r w:rsidRPr="003679FA">
        <w:rPr>
          <w:rFonts w:ascii="Trebuchet MS" w:eastAsia="Calibri" w:hAnsi="Trebuchet MS" w:cs="Calibri"/>
        </w:rPr>
        <w:t xml:space="preserve"> (2005)</w:t>
      </w:r>
    </w:p>
    <w:p w14:paraId="214A7946" w14:textId="77777777" w:rsidR="00FE24A1" w:rsidRPr="003679FA" w:rsidRDefault="003679FA" w:rsidP="003679FA">
      <w:pPr>
        <w:pStyle w:val="ListParagraph"/>
        <w:numPr>
          <w:ilvl w:val="1"/>
          <w:numId w:val="5"/>
        </w:numPr>
        <w:spacing w:line="259" w:lineRule="auto"/>
        <w:ind w:left="2160"/>
        <w:contextualSpacing w:val="0"/>
        <w:rPr>
          <w:rFonts w:ascii="Trebuchet MS" w:eastAsia="Calibri" w:hAnsi="Trebuchet MS" w:cs="Calibri"/>
        </w:rPr>
      </w:pPr>
      <w:r w:rsidRPr="003679FA">
        <w:rPr>
          <w:rFonts w:ascii="Trebuchet MS" w:eastAsia="Calibri" w:hAnsi="Trebuchet MS" w:cs="Calibri"/>
          <w:i/>
        </w:rPr>
        <w:t>Town of Greece, N.Y. v. Galloway</w:t>
      </w:r>
      <w:r w:rsidRPr="003679FA">
        <w:rPr>
          <w:rFonts w:ascii="Trebuchet MS" w:eastAsia="Calibri" w:hAnsi="Trebuchet MS" w:cs="Calibri"/>
        </w:rPr>
        <w:t xml:space="preserve"> (2014)</w:t>
      </w:r>
    </w:p>
    <w:p w14:paraId="411B3318" w14:textId="77777777" w:rsidR="000B5CDD" w:rsidRPr="003679FA" w:rsidRDefault="000B5CDD" w:rsidP="00FE24A1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</w:rPr>
      </w:pPr>
    </w:p>
    <w:p w14:paraId="4B83F031" w14:textId="77777777" w:rsidR="000B5CDD" w:rsidRPr="003679FA" w:rsidRDefault="00654636" w:rsidP="00FE24A1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highlight w:val="yellow"/>
        </w:rPr>
      </w:pPr>
      <w:r w:rsidRPr="003679FA">
        <w:rPr>
          <w:rFonts w:ascii="Trebuchet MS" w:eastAsia="Calibri" w:hAnsi="Trebuchet MS" w:cs="Calibri"/>
          <w:i/>
          <w:highlight w:val="yellow"/>
        </w:rPr>
        <w:t>Wisconsin v. Yoder</w:t>
      </w:r>
      <w:r w:rsidRPr="003679FA">
        <w:rPr>
          <w:rFonts w:ascii="Trebuchet MS" w:eastAsia="Calibri" w:hAnsi="Trebuchet MS" w:cs="Calibri"/>
          <w:highlight w:val="yellow"/>
        </w:rPr>
        <w:t xml:space="preserve"> (1972)</w:t>
      </w:r>
    </w:p>
    <w:p w14:paraId="1FA264CA" w14:textId="77777777" w:rsidR="00FE24A1" w:rsidRPr="003679FA" w:rsidRDefault="00FE24A1" w:rsidP="00FE24A1">
      <w:pPr>
        <w:pStyle w:val="ListParagraph"/>
        <w:numPr>
          <w:ilvl w:val="1"/>
          <w:numId w:val="7"/>
        </w:numPr>
        <w:ind w:left="2160"/>
        <w:rPr>
          <w:rFonts w:ascii="Trebuchet MS" w:hAnsi="Trebuchet MS"/>
          <w:i/>
        </w:rPr>
      </w:pPr>
      <w:r w:rsidRPr="003679FA">
        <w:rPr>
          <w:rFonts w:ascii="Trebuchet MS" w:hAnsi="Trebuchet MS"/>
          <w:i/>
        </w:rPr>
        <w:t xml:space="preserve">Reynolds v. U.S. </w:t>
      </w:r>
      <w:r w:rsidRPr="003679FA">
        <w:rPr>
          <w:rFonts w:ascii="Trebuchet MS" w:hAnsi="Trebuchet MS"/>
        </w:rPr>
        <w:t>(1879)</w:t>
      </w:r>
    </w:p>
    <w:p w14:paraId="34015CD2" w14:textId="77777777" w:rsidR="00FE24A1" w:rsidRPr="003679FA" w:rsidRDefault="00FE24A1" w:rsidP="00FE24A1">
      <w:pPr>
        <w:pStyle w:val="ListParagraph"/>
        <w:numPr>
          <w:ilvl w:val="1"/>
          <w:numId w:val="7"/>
        </w:numPr>
        <w:ind w:left="2160"/>
        <w:rPr>
          <w:rFonts w:ascii="Trebuchet MS" w:hAnsi="Trebuchet MS"/>
          <w:i/>
        </w:rPr>
      </w:pPr>
      <w:r w:rsidRPr="003679FA">
        <w:rPr>
          <w:rFonts w:ascii="Trebuchet MS" w:hAnsi="Trebuchet MS"/>
          <w:i/>
        </w:rPr>
        <w:t xml:space="preserve">Minersville v. Gobitis </w:t>
      </w:r>
      <w:r w:rsidRPr="003679FA">
        <w:rPr>
          <w:rFonts w:ascii="Trebuchet MS" w:hAnsi="Trebuchet MS"/>
        </w:rPr>
        <w:t>(1940)</w:t>
      </w:r>
    </w:p>
    <w:p w14:paraId="3352AA0C" w14:textId="77777777" w:rsidR="003679FA" w:rsidRDefault="003679FA" w:rsidP="003679FA">
      <w:pPr>
        <w:pStyle w:val="ListParagraph"/>
        <w:numPr>
          <w:ilvl w:val="1"/>
          <w:numId w:val="7"/>
        </w:numPr>
        <w:ind w:left="2160"/>
        <w:rPr>
          <w:rFonts w:ascii="Trebuchet MS" w:hAnsi="Trebuchet MS"/>
          <w:i/>
        </w:rPr>
      </w:pPr>
      <w:r w:rsidRPr="003679FA">
        <w:rPr>
          <w:rFonts w:ascii="Trebuchet MS" w:eastAsia="Calibri" w:hAnsi="Trebuchet MS" w:cs="Calibri"/>
          <w:i/>
        </w:rPr>
        <w:t>Church of the Lukumi Babalu Aye, Inc. v. City of Hialeah</w:t>
      </w:r>
      <w:r w:rsidRPr="003679FA">
        <w:rPr>
          <w:rFonts w:ascii="Trebuchet MS" w:eastAsia="Calibri" w:hAnsi="Trebuchet MS" w:cs="Calibri"/>
        </w:rPr>
        <w:t xml:space="preserve"> (1993)</w:t>
      </w:r>
      <w:r w:rsidRPr="003679FA">
        <w:rPr>
          <w:rFonts w:ascii="Trebuchet MS" w:hAnsi="Trebuchet MS"/>
          <w:i/>
        </w:rPr>
        <w:t xml:space="preserve"> </w:t>
      </w:r>
    </w:p>
    <w:p w14:paraId="05526C53" w14:textId="77777777" w:rsidR="000B5CDD" w:rsidRPr="003679FA" w:rsidRDefault="00654636" w:rsidP="00FE24A1">
      <w:pPr>
        <w:pStyle w:val="ListParagraph"/>
        <w:numPr>
          <w:ilvl w:val="1"/>
          <w:numId w:val="7"/>
        </w:numPr>
        <w:spacing w:line="240" w:lineRule="auto"/>
        <w:ind w:left="2160"/>
        <w:contextualSpacing w:val="0"/>
        <w:rPr>
          <w:rFonts w:ascii="Trebuchet MS" w:eastAsia="Calibri" w:hAnsi="Trebuchet MS" w:cs="Calibri"/>
        </w:rPr>
      </w:pPr>
      <w:r w:rsidRPr="003679FA">
        <w:rPr>
          <w:rFonts w:ascii="Trebuchet MS" w:eastAsia="Calibri" w:hAnsi="Trebuchet MS" w:cs="Calibri"/>
          <w:i/>
        </w:rPr>
        <w:t>Gonzales v. O Centro Espirita Beneficente Uniao do Vegetal</w:t>
      </w:r>
      <w:r w:rsidRPr="003679FA">
        <w:rPr>
          <w:rFonts w:ascii="Trebuchet MS" w:eastAsia="Calibri" w:hAnsi="Trebuchet MS" w:cs="Calibri"/>
        </w:rPr>
        <w:t xml:space="preserve"> (2006)</w:t>
      </w:r>
    </w:p>
    <w:p w14:paraId="46125716" w14:textId="77777777" w:rsidR="000B5CDD" w:rsidRPr="003679FA" w:rsidRDefault="003679FA" w:rsidP="003679FA">
      <w:pPr>
        <w:pStyle w:val="ListParagraph"/>
        <w:numPr>
          <w:ilvl w:val="1"/>
          <w:numId w:val="7"/>
        </w:numPr>
        <w:ind w:left="2160"/>
        <w:rPr>
          <w:rFonts w:ascii="Trebuchet MS" w:hAnsi="Trebuchet MS"/>
          <w:i/>
        </w:rPr>
      </w:pPr>
      <w:r w:rsidRPr="003679FA">
        <w:rPr>
          <w:rFonts w:ascii="Trebuchet MS" w:hAnsi="Trebuchet MS"/>
          <w:i/>
        </w:rPr>
        <w:t xml:space="preserve">Masterpiece Cake v. Colorado Civil Rights Commission </w:t>
      </w:r>
      <w:r w:rsidRPr="003679FA">
        <w:rPr>
          <w:rFonts w:ascii="Trebuchet MS" w:hAnsi="Trebuchet MS"/>
        </w:rPr>
        <w:t>(2018)</w:t>
      </w:r>
    </w:p>
    <w:p w14:paraId="48A3C3E7" w14:textId="77777777" w:rsidR="000B5CDD" w:rsidRPr="00211389" w:rsidRDefault="000B5CDD" w:rsidP="00FE24A1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szCs w:val="24"/>
        </w:rPr>
      </w:pPr>
      <w:bookmarkStart w:id="1" w:name="_gjdgxs" w:colFirst="0" w:colLast="0"/>
      <w:bookmarkEnd w:id="1"/>
    </w:p>
    <w:p w14:paraId="4D9F57BF" w14:textId="77777777" w:rsidR="000B5CDD" w:rsidRPr="00154DAC" w:rsidRDefault="00654636" w:rsidP="00FE24A1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highlight w:val="yellow"/>
        </w:rPr>
      </w:pPr>
      <w:r w:rsidRPr="00154DAC">
        <w:rPr>
          <w:rFonts w:ascii="Trebuchet MS" w:eastAsia="Calibri" w:hAnsi="Trebuchet MS" w:cs="Calibri"/>
          <w:i/>
          <w:highlight w:val="yellow"/>
        </w:rPr>
        <w:t>Tinker v. Des Moines Independent Community School District</w:t>
      </w:r>
      <w:r w:rsidRPr="00154DAC">
        <w:rPr>
          <w:rFonts w:ascii="Trebuchet MS" w:eastAsia="Calibri" w:hAnsi="Trebuchet MS" w:cs="Calibri"/>
          <w:highlight w:val="yellow"/>
        </w:rPr>
        <w:t xml:space="preserve"> (1969)</w:t>
      </w:r>
    </w:p>
    <w:p w14:paraId="74F62AA0" w14:textId="77777777" w:rsidR="00154DAC" w:rsidRPr="00154DAC" w:rsidRDefault="00154DAC" w:rsidP="00154DAC">
      <w:pPr>
        <w:pStyle w:val="ListParagraph"/>
        <w:numPr>
          <w:ilvl w:val="0"/>
          <w:numId w:val="11"/>
        </w:numPr>
        <w:spacing w:line="259" w:lineRule="auto"/>
        <w:contextualSpacing w:val="0"/>
        <w:rPr>
          <w:rFonts w:ascii="Trebuchet MS" w:eastAsia="Calibri" w:hAnsi="Trebuchet MS" w:cs="Calibri"/>
        </w:rPr>
      </w:pPr>
      <w:r w:rsidRPr="00154DAC">
        <w:rPr>
          <w:rFonts w:ascii="Trebuchet MS" w:eastAsia="Calibri" w:hAnsi="Trebuchet MS" w:cs="Calibri"/>
          <w:i/>
        </w:rPr>
        <w:t>Island Trees v. Pico</w:t>
      </w:r>
      <w:r w:rsidRPr="00154DAC">
        <w:rPr>
          <w:rFonts w:ascii="Trebuchet MS" w:eastAsia="Calibri" w:hAnsi="Trebuchet MS" w:cs="Calibri"/>
        </w:rPr>
        <w:t xml:space="preserve"> (1982)</w:t>
      </w:r>
    </w:p>
    <w:p w14:paraId="22CE4013" w14:textId="77777777" w:rsidR="00154DAC" w:rsidRPr="00154DAC" w:rsidRDefault="00154DAC" w:rsidP="00154DAC">
      <w:pPr>
        <w:pStyle w:val="ListParagraph"/>
        <w:numPr>
          <w:ilvl w:val="0"/>
          <w:numId w:val="11"/>
        </w:numPr>
        <w:spacing w:line="259" w:lineRule="auto"/>
        <w:contextualSpacing w:val="0"/>
        <w:rPr>
          <w:rFonts w:ascii="Trebuchet MS" w:eastAsia="Calibri" w:hAnsi="Trebuchet MS" w:cs="Calibri"/>
        </w:rPr>
      </w:pPr>
      <w:r w:rsidRPr="00154DAC">
        <w:rPr>
          <w:rFonts w:ascii="Trebuchet MS" w:eastAsia="Calibri" w:hAnsi="Trebuchet MS" w:cs="Calibri"/>
          <w:i/>
        </w:rPr>
        <w:t>Bethel School v. Fraser</w:t>
      </w:r>
      <w:r w:rsidRPr="00154DAC">
        <w:rPr>
          <w:rFonts w:ascii="Trebuchet MS" w:eastAsia="Calibri" w:hAnsi="Trebuchet MS" w:cs="Calibri"/>
        </w:rPr>
        <w:t xml:space="preserve"> (1986)</w:t>
      </w:r>
    </w:p>
    <w:p w14:paraId="5D7CEDCB" w14:textId="77777777" w:rsidR="000B5CDD" w:rsidRPr="00154DAC" w:rsidRDefault="00654636" w:rsidP="00154DAC">
      <w:pPr>
        <w:pStyle w:val="ListParagraph"/>
        <w:numPr>
          <w:ilvl w:val="0"/>
          <w:numId w:val="11"/>
        </w:numPr>
        <w:spacing w:line="259" w:lineRule="auto"/>
        <w:contextualSpacing w:val="0"/>
        <w:rPr>
          <w:rFonts w:ascii="Trebuchet MS" w:eastAsia="Calibri" w:hAnsi="Trebuchet MS" w:cs="Calibri"/>
        </w:rPr>
      </w:pPr>
      <w:r w:rsidRPr="00154DAC">
        <w:rPr>
          <w:rFonts w:ascii="Trebuchet MS" w:eastAsia="Calibri" w:hAnsi="Trebuchet MS" w:cs="Calibri"/>
          <w:i/>
        </w:rPr>
        <w:t>Hazelwood (Mo.) School District v. Kuhlmeier</w:t>
      </w:r>
      <w:r w:rsidRPr="00154DAC">
        <w:rPr>
          <w:rFonts w:ascii="Trebuchet MS" w:eastAsia="Calibri" w:hAnsi="Trebuchet MS" w:cs="Calibri"/>
        </w:rPr>
        <w:t xml:space="preserve"> (1988)</w:t>
      </w:r>
    </w:p>
    <w:p w14:paraId="1CBB7D3C" w14:textId="77777777" w:rsidR="00154DAC" w:rsidRPr="00154DAC" w:rsidRDefault="00154DAC" w:rsidP="00154DAC">
      <w:pPr>
        <w:pStyle w:val="ListParagraph"/>
        <w:numPr>
          <w:ilvl w:val="0"/>
          <w:numId w:val="11"/>
        </w:numPr>
        <w:spacing w:line="259" w:lineRule="auto"/>
        <w:contextualSpacing w:val="0"/>
        <w:rPr>
          <w:rFonts w:ascii="Trebuchet MS" w:eastAsia="Calibri" w:hAnsi="Trebuchet MS" w:cs="Calibri"/>
        </w:rPr>
      </w:pPr>
      <w:r w:rsidRPr="00154DAC">
        <w:rPr>
          <w:rFonts w:ascii="Trebuchet MS" w:eastAsia="Calibri" w:hAnsi="Trebuchet MS" w:cs="Calibri"/>
          <w:i/>
        </w:rPr>
        <w:t>Rosenberger v. University of Virginia</w:t>
      </w:r>
      <w:r w:rsidRPr="00154DAC">
        <w:rPr>
          <w:rFonts w:ascii="Trebuchet MS" w:eastAsia="Calibri" w:hAnsi="Trebuchet MS" w:cs="Calibri"/>
        </w:rPr>
        <w:t xml:space="preserve"> (1995)</w:t>
      </w:r>
    </w:p>
    <w:p w14:paraId="5FC01D45" w14:textId="77777777" w:rsidR="000B5CDD" w:rsidRDefault="00654636" w:rsidP="00154DAC">
      <w:pPr>
        <w:pStyle w:val="ListParagraph"/>
        <w:numPr>
          <w:ilvl w:val="0"/>
          <w:numId w:val="11"/>
        </w:numPr>
        <w:spacing w:line="259" w:lineRule="auto"/>
        <w:contextualSpacing w:val="0"/>
        <w:rPr>
          <w:rFonts w:ascii="Trebuchet MS" w:eastAsia="Calibri" w:hAnsi="Trebuchet MS" w:cs="Calibri"/>
        </w:rPr>
      </w:pPr>
      <w:r w:rsidRPr="00154DAC">
        <w:rPr>
          <w:rFonts w:ascii="Trebuchet MS" w:eastAsia="Calibri" w:hAnsi="Trebuchet MS" w:cs="Calibri"/>
          <w:i/>
        </w:rPr>
        <w:t>Morse v. Frederick</w:t>
      </w:r>
      <w:r w:rsidRPr="00154DAC">
        <w:rPr>
          <w:rFonts w:ascii="Trebuchet MS" w:eastAsia="Calibri" w:hAnsi="Trebuchet MS" w:cs="Calibri"/>
        </w:rPr>
        <w:t xml:space="preserve"> (2007)</w:t>
      </w:r>
    </w:p>
    <w:p w14:paraId="682FBBED" w14:textId="77777777" w:rsidR="000B5CDD" w:rsidRPr="00211389" w:rsidRDefault="000B5CDD" w:rsidP="00FE24A1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szCs w:val="24"/>
          <w:u w:val="single"/>
        </w:rPr>
      </w:pPr>
    </w:p>
    <w:p w14:paraId="0A496777" w14:textId="77777777" w:rsidR="000B5CDD" w:rsidRPr="00211389" w:rsidRDefault="00654636" w:rsidP="00FE24A1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szCs w:val="24"/>
          <w:highlight w:val="yellow"/>
        </w:rPr>
      </w:pPr>
      <w:r w:rsidRPr="00211389">
        <w:rPr>
          <w:rFonts w:ascii="Trebuchet MS" w:eastAsia="Calibri" w:hAnsi="Trebuchet MS" w:cs="Calibri"/>
          <w:i/>
          <w:szCs w:val="24"/>
          <w:highlight w:val="yellow"/>
        </w:rPr>
        <w:t>New York Times Co. v. United States</w:t>
      </w:r>
      <w:r w:rsidRPr="00211389">
        <w:rPr>
          <w:rFonts w:ascii="Trebuchet MS" w:eastAsia="Calibri" w:hAnsi="Trebuchet MS" w:cs="Calibri"/>
          <w:szCs w:val="24"/>
          <w:highlight w:val="yellow"/>
        </w:rPr>
        <w:t xml:space="preserve"> (1971)</w:t>
      </w:r>
    </w:p>
    <w:p w14:paraId="3D12F714" w14:textId="77777777" w:rsidR="000B5CDD" w:rsidRPr="00154DAC" w:rsidRDefault="00654636" w:rsidP="00154DAC">
      <w:pPr>
        <w:pStyle w:val="ListParagraph"/>
        <w:numPr>
          <w:ilvl w:val="0"/>
          <w:numId w:val="12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154DAC">
        <w:rPr>
          <w:rFonts w:ascii="Trebuchet MS" w:eastAsia="Calibri" w:hAnsi="Trebuchet MS" w:cs="Calibri"/>
          <w:i/>
          <w:szCs w:val="24"/>
        </w:rPr>
        <w:t>Nebraska Press Association v. Stuart</w:t>
      </w:r>
      <w:r w:rsidRPr="00154DAC">
        <w:rPr>
          <w:rFonts w:ascii="Trebuchet MS" w:eastAsia="Calibri" w:hAnsi="Trebuchet MS" w:cs="Calibri"/>
          <w:szCs w:val="24"/>
        </w:rPr>
        <w:t xml:space="preserve"> (1976)</w:t>
      </w:r>
    </w:p>
    <w:p w14:paraId="1B9D929C" w14:textId="77777777" w:rsidR="000B5CDD" w:rsidRPr="00154DAC" w:rsidRDefault="00654636" w:rsidP="00154DAC">
      <w:pPr>
        <w:pStyle w:val="ListParagraph"/>
        <w:numPr>
          <w:ilvl w:val="0"/>
          <w:numId w:val="12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154DAC">
        <w:rPr>
          <w:rFonts w:ascii="Trebuchet MS" w:eastAsia="Calibri" w:hAnsi="Trebuchet MS" w:cs="Calibri"/>
          <w:i/>
          <w:szCs w:val="24"/>
        </w:rPr>
        <w:t>KPNX Broadcasting Co. v. Arizona Superior Court</w:t>
      </w:r>
      <w:r w:rsidRPr="00154DAC">
        <w:rPr>
          <w:rFonts w:ascii="Trebuchet MS" w:eastAsia="Calibri" w:hAnsi="Trebuchet MS" w:cs="Calibri"/>
          <w:szCs w:val="24"/>
        </w:rPr>
        <w:t xml:space="preserve"> (1982)</w:t>
      </w:r>
    </w:p>
    <w:p w14:paraId="070E2412" w14:textId="77777777" w:rsidR="000B5CDD" w:rsidRPr="00154DAC" w:rsidRDefault="00654636" w:rsidP="00154DAC">
      <w:pPr>
        <w:pStyle w:val="ListParagraph"/>
        <w:numPr>
          <w:ilvl w:val="0"/>
          <w:numId w:val="12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154DAC">
        <w:rPr>
          <w:rFonts w:ascii="Trebuchet MS" w:eastAsia="Calibri" w:hAnsi="Trebuchet MS" w:cs="Calibri"/>
          <w:i/>
          <w:szCs w:val="24"/>
        </w:rPr>
        <w:t>CBS Inc., V. Davis</w:t>
      </w:r>
      <w:r w:rsidRPr="00154DAC">
        <w:rPr>
          <w:rFonts w:ascii="Trebuchet MS" w:eastAsia="Calibri" w:hAnsi="Trebuchet MS" w:cs="Calibri"/>
          <w:szCs w:val="24"/>
        </w:rPr>
        <w:t xml:space="preserve"> (1994)</w:t>
      </w:r>
    </w:p>
    <w:p w14:paraId="448A7F43" w14:textId="77777777" w:rsidR="00154DAC" w:rsidRPr="00154DAC" w:rsidRDefault="00154DAC" w:rsidP="00154DAC">
      <w:pPr>
        <w:pStyle w:val="ListParagraph"/>
        <w:numPr>
          <w:ilvl w:val="0"/>
          <w:numId w:val="12"/>
        </w:numPr>
        <w:spacing w:line="259" w:lineRule="auto"/>
        <w:contextualSpacing w:val="0"/>
        <w:rPr>
          <w:rFonts w:ascii="Trebuchet MS" w:eastAsia="Calibri" w:hAnsi="Trebuchet MS" w:cs="Calibri"/>
          <w:sz w:val="24"/>
          <w:szCs w:val="28"/>
        </w:rPr>
      </w:pPr>
      <w:r w:rsidRPr="00154DAC">
        <w:rPr>
          <w:rFonts w:ascii="Trebuchet MS" w:eastAsia="Calibri" w:hAnsi="Trebuchet MS" w:cs="Calibri"/>
          <w:i/>
          <w:szCs w:val="24"/>
        </w:rPr>
        <w:t xml:space="preserve">Greater New Orleans Broadcasting Association, Inc. v. United States </w:t>
      </w:r>
      <w:r w:rsidRPr="00154DAC">
        <w:rPr>
          <w:rFonts w:ascii="Trebuchet MS" w:eastAsia="Calibri" w:hAnsi="Trebuchet MS" w:cs="Calibri"/>
          <w:szCs w:val="24"/>
        </w:rPr>
        <w:t>(1999)</w:t>
      </w:r>
    </w:p>
    <w:p w14:paraId="1040F413" w14:textId="77777777" w:rsidR="00FE24A1" w:rsidRDefault="00FE24A1" w:rsidP="00FE24A1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szCs w:val="24"/>
          <w:u w:val="single"/>
        </w:rPr>
      </w:pPr>
    </w:p>
    <w:p w14:paraId="26E0425D" w14:textId="77777777" w:rsidR="000B5CDD" w:rsidRPr="00211389" w:rsidRDefault="00654636" w:rsidP="00FE24A1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szCs w:val="24"/>
          <w:highlight w:val="yellow"/>
        </w:rPr>
      </w:pPr>
      <w:r w:rsidRPr="00211389">
        <w:rPr>
          <w:rFonts w:ascii="Trebuchet MS" w:eastAsia="Calibri" w:hAnsi="Trebuchet MS" w:cs="Calibri"/>
          <w:i/>
          <w:szCs w:val="24"/>
          <w:highlight w:val="yellow"/>
        </w:rPr>
        <w:t>Schenck v. United States</w:t>
      </w:r>
      <w:r w:rsidRPr="00211389">
        <w:rPr>
          <w:rFonts w:ascii="Trebuchet MS" w:eastAsia="Calibri" w:hAnsi="Trebuchet MS" w:cs="Calibri"/>
          <w:szCs w:val="24"/>
          <w:highlight w:val="yellow"/>
        </w:rPr>
        <w:t xml:space="preserve"> (1919)</w:t>
      </w:r>
    </w:p>
    <w:p w14:paraId="045EABE0" w14:textId="77777777" w:rsidR="000B5CDD" w:rsidRPr="00154DAC" w:rsidRDefault="00654636" w:rsidP="00154DAC">
      <w:pPr>
        <w:pStyle w:val="ListParagraph"/>
        <w:numPr>
          <w:ilvl w:val="0"/>
          <w:numId w:val="15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154DAC">
        <w:rPr>
          <w:rFonts w:ascii="Trebuchet MS" w:eastAsia="Calibri" w:hAnsi="Trebuchet MS" w:cs="Calibri"/>
          <w:i/>
          <w:szCs w:val="24"/>
        </w:rPr>
        <w:t>Dennis v. United States</w:t>
      </w:r>
      <w:r w:rsidRPr="00154DAC">
        <w:rPr>
          <w:rFonts w:ascii="Trebuchet MS" w:eastAsia="Calibri" w:hAnsi="Trebuchet MS" w:cs="Calibri"/>
          <w:szCs w:val="24"/>
        </w:rPr>
        <w:t xml:space="preserve"> (1951)</w:t>
      </w:r>
    </w:p>
    <w:p w14:paraId="3EF46BCB" w14:textId="77777777" w:rsidR="000B5CDD" w:rsidRPr="00154DAC" w:rsidRDefault="00654636" w:rsidP="00154DAC">
      <w:pPr>
        <w:pStyle w:val="ListParagraph"/>
        <w:numPr>
          <w:ilvl w:val="0"/>
          <w:numId w:val="15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154DAC">
        <w:rPr>
          <w:rFonts w:ascii="Trebuchet MS" w:eastAsia="Calibri" w:hAnsi="Trebuchet MS" w:cs="Calibri"/>
          <w:i/>
          <w:szCs w:val="24"/>
        </w:rPr>
        <w:t>Noto v. United States</w:t>
      </w:r>
      <w:r w:rsidRPr="00154DAC">
        <w:rPr>
          <w:rFonts w:ascii="Trebuchet MS" w:eastAsia="Calibri" w:hAnsi="Trebuchet MS" w:cs="Calibri"/>
          <w:szCs w:val="24"/>
        </w:rPr>
        <w:t xml:space="preserve"> (1961)</w:t>
      </w:r>
    </w:p>
    <w:p w14:paraId="41D82629" w14:textId="77777777" w:rsidR="000B5CDD" w:rsidRPr="00154DAC" w:rsidRDefault="00654636" w:rsidP="00154DAC">
      <w:pPr>
        <w:pStyle w:val="ListParagraph"/>
        <w:numPr>
          <w:ilvl w:val="0"/>
          <w:numId w:val="15"/>
        </w:numPr>
        <w:spacing w:line="259" w:lineRule="auto"/>
        <w:contextualSpacing w:val="0"/>
        <w:rPr>
          <w:rFonts w:ascii="Trebuchet MS" w:eastAsia="Calibri" w:hAnsi="Trebuchet MS" w:cs="Calibri"/>
          <w:sz w:val="24"/>
          <w:szCs w:val="28"/>
        </w:rPr>
      </w:pPr>
      <w:r w:rsidRPr="00154DAC">
        <w:rPr>
          <w:rFonts w:ascii="Trebuchet MS" w:eastAsia="Calibri" w:hAnsi="Trebuchet MS" w:cs="Calibri"/>
          <w:i/>
          <w:szCs w:val="24"/>
        </w:rPr>
        <w:t>Brandenburg v. Ohio</w:t>
      </w:r>
      <w:r w:rsidRPr="00154DAC">
        <w:rPr>
          <w:rFonts w:ascii="Trebuchet MS" w:eastAsia="Calibri" w:hAnsi="Trebuchet MS" w:cs="Calibri"/>
          <w:szCs w:val="24"/>
        </w:rPr>
        <w:t xml:space="preserve"> (1969)</w:t>
      </w:r>
    </w:p>
    <w:p w14:paraId="1C3CBD73" w14:textId="77777777" w:rsidR="00154DAC" w:rsidRPr="00154DAC" w:rsidRDefault="00654636" w:rsidP="00154DAC">
      <w:pPr>
        <w:pStyle w:val="ListParagraph"/>
        <w:numPr>
          <w:ilvl w:val="0"/>
          <w:numId w:val="15"/>
        </w:numPr>
        <w:spacing w:line="259" w:lineRule="auto"/>
        <w:contextualSpacing w:val="0"/>
        <w:rPr>
          <w:rFonts w:ascii="Trebuchet MS" w:eastAsia="Calibri" w:hAnsi="Trebuchet MS" w:cs="Calibri"/>
        </w:rPr>
      </w:pPr>
      <w:r w:rsidRPr="00154DAC">
        <w:rPr>
          <w:rFonts w:ascii="Trebuchet MS" w:eastAsia="Calibri" w:hAnsi="Trebuchet MS" w:cs="Calibri"/>
          <w:i/>
          <w:szCs w:val="24"/>
        </w:rPr>
        <w:t>National Association for the Advancement of Colored People v. Claiborne Hardware Co</w:t>
      </w:r>
      <w:r w:rsidRPr="00154DAC">
        <w:rPr>
          <w:rFonts w:ascii="Trebuchet MS" w:eastAsia="Calibri" w:hAnsi="Trebuchet MS" w:cs="Calibri"/>
          <w:szCs w:val="24"/>
        </w:rPr>
        <w:t>. (1982)</w:t>
      </w:r>
      <w:r w:rsidR="00154DAC" w:rsidRPr="00154DAC">
        <w:rPr>
          <w:rFonts w:ascii="Trebuchet MS" w:eastAsia="Calibri" w:hAnsi="Trebuchet MS" w:cs="Calibri"/>
          <w:i/>
        </w:rPr>
        <w:t xml:space="preserve"> </w:t>
      </w:r>
    </w:p>
    <w:p w14:paraId="613CB459" w14:textId="77777777" w:rsidR="00154DAC" w:rsidRPr="00154DAC" w:rsidRDefault="00154DAC" w:rsidP="00154DAC">
      <w:pPr>
        <w:pStyle w:val="ListParagraph"/>
        <w:numPr>
          <w:ilvl w:val="0"/>
          <w:numId w:val="15"/>
        </w:numPr>
        <w:spacing w:line="259" w:lineRule="auto"/>
        <w:contextualSpacing w:val="0"/>
        <w:rPr>
          <w:rFonts w:ascii="Trebuchet MS" w:eastAsia="Calibri" w:hAnsi="Trebuchet MS" w:cs="Calibri"/>
        </w:rPr>
      </w:pPr>
      <w:r w:rsidRPr="00154DAC">
        <w:rPr>
          <w:rFonts w:ascii="Trebuchet MS" w:eastAsia="Calibri" w:hAnsi="Trebuchet MS" w:cs="Calibri"/>
          <w:i/>
        </w:rPr>
        <w:t>Texas v. Johnson</w:t>
      </w:r>
      <w:r w:rsidRPr="00154DAC">
        <w:rPr>
          <w:rFonts w:ascii="Trebuchet MS" w:eastAsia="Calibri" w:hAnsi="Trebuchet MS" w:cs="Calibri"/>
        </w:rPr>
        <w:t xml:space="preserve"> (1989)</w:t>
      </w:r>
    </w:p>
    <w:p w14:paraId="70DFB6C9" w14:textId="77777777" w:rsidR="00154DAC" w:rsidRPr="00154DAC" w:rsidRDefault="00154DAC" w:rsidP="00154DAC">
      <w:pPr>
        <w:pStyle w:val="ListParagraph"/>
        <w:numPr>
          <w:ilvl w:val="0"/>
          <w:numId w:val="15"/>
        </w:numPr>
        <w:spacing w:line="259" w:lineRule="auto"/>
        <w:contextualSpacing w:val="0"/>
        <w:rPr>
          <w:rFonts w:ascii="Trebuchet MS" w:eastAsia="Calibri" w:hAnsi="Trebuchet MS" w:cs="Calibri"/>
        </w:rPr>
      </w:pPr>
      <w:r w:rsidRPr="00154DAC">
        <w:rPr>
          <w:rFonts w:ascii="Trebuchet MS" w:eastAsia="Calibri" w:hAnsi="Trebuchet MS" w:cs="Calibri"/>
          <w:i/>
        </w:rPr>
        <w:t xml:space="preserve">Snyder v. Phelps </w:t>
      </w:r>
      <w:r w:rsidRPr="00154DAC">
        <w:rPr>
          <w:rFonts w:ascii="Trebuchet MS" w:eastAsia="Calibri" w:hAnsi="Trebuchet MS" w:cs="Calibri"/>
        </w:rPr>
        <w:t>(2011)</w:t>
      </w:r>
    </w:p>
    <w:p w14:paraId="517431E8" w14:textId="77777777" w:rsidR="000B5CDD" w:rsidRPr="00154DAC" w:rsidRDefault="000B5CDD" w:rsidP="00154DAC">
      <w:pPr>
        <w:spacing w:line="259" w:lineRule="auto"/>
        <w:ind w:left="360"/>
        <w:contextualSpacing w:val="0"/>
        <w:rPr>
          <w:rFonts w:ascii="Trebuchet MS" w:eastAsia="Calibri" w:hAnsi="Trebuchet MS" w:cs="Calibri"/>
          <w:szCs w:val="24"/>
        </w:rPr>
      </w:pPr>
    </w:p>
    <w:p w14:paraId="71AB78E8" w14:textId="77777777" w:rsidR="00C75607" w:rsidRDefault="00C75607">
      <w:pPr>
        <w:spacing w:after="160" w:line="259" w:lineRule="auto"/>
        <w:contextualSpacing w:val="0"/>
        <w:rPr>
          <w:rFonts w:ascii="Trebuchet MS" w:eastAsia="Calibri" w:hAnsi="Trebuchet MS" w:cs="Calibri"/>
          <w:szCs w:val="24"/>
          <w:u w:val="single"/>
        </w:rPr>
      </w:pPr>
    </w:p>
    <w:p w14:paraId="5A4A3E23" w14:textId="77777777" w:rsidR="000B5CDD" w:rsidRPr="00211389" w:rsidRDefault="00654636">
      <w:pPr>
        <w:spacing w:after="160" w:line="259" w:lineRule="auto"/>
        <w:contextualSpacing w:val="0"/>
        <w:rPr>
          <w:rFonts w:ascii="Trebuchet MS" w:eastAsia="Calibri" w:hAnsi="Trebuchet MS" w:cs="Calibri"/>
          <w:szCs w:val="24"/>
          <w:u w:val="single"/>
        </w:rPr>
      </w:pPr>
      <w:r w:rsidRPr="00211389">
        <w:rPr>
          <w:rFonts w:ascii="Trebuchet MS" w:eastAsia="Calibri" w:hAnsi="Trebuchet MS" w:cs="Calibri"/>
          <w:szCs w:val="24"/>
          <w:u w:val="single"/>
        </w:rPr>
        <w:t xml:space="preserve">LOR-3: Protection of the Bill of Rights have been selectively incorporated by way of the Fourteenth Amendment’s due process clause to prevent state infringement of basic liberties </w:t>
      </w:r>
    </w:p>
    <w:p w14:paraId="6D3EA73E" w14:textId="77777777" w:rsidR="000B5CDD" w:rsidRPr="00211389" w:rsidRDefault="00654636" w:rsidP="00C75607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szCs w:val="24"/>
          <w:highlight w:val="yellow"/>
        </w:rPr>
      </w:pPr>
      <w:r w:rsidRPr="00211389">
        <w:rPr>
          <w:rFonts w:ascii="Trebuchet MS" w:eastAsia="Calibri" w:hAnsi="Trebuchet MS" w:cs="Calibri"/>
          <w:i/>
          <w:szCs w:val="24"/>
          <w:highlight w:val="yellow"/>
        </w:rPr>
        <w:t>Gideon v. Wainwright</w:t>
      </w:r>
      <w:r w:rsidRPr="00211389">
        <w:rPr>
          <w:rFonts w:ascii="Trebuchet MS" w:eastAsia="Calibri" w:hAnsi="Trebuchet MS" w:cs="Calibri"/>
          <w:szCs w:val="24"/>
          <w:highlight w:val="yellow"/>
        </w:rPr>
        <w:t xml:space="preserve"> (1963)</w:t>
      </w:r>
    </w:p>
    <w:p w14:paraId="17A2F042" w14:textId="77777777" w:rsidR="00C75607" w:rsidRPr="00C75607" w:rsidRDefault="00C75607" w:rsidP="00C75607">
      <w:pPr>
        <w:pStyle w:val="ListParagraph"/>
        <w:numPr>
          <w:ilvl w:val="0"/>
          <w:numId w:val="16"/>
        </w:numPr>
        <w:spacing w:line="259" w:lineRule="auto"/>
        <w:ind w:left="2160"/>
        <w:contextualSpacing w:val="0"/>
        <w:rPr>
          <w:rFonts w:ascii="Trebuchet MS" w:eastAsia="Calibri" w:hAnsi="Trebuchet MS" w:cs="Calibri"/>
          <w:i/>
          <w:szCs w:val="24"/>
        </w:rPr>
      </w:pPr>
      <w:r w:rsidRPr="00C75607">
        <w:rPr>
          <w:rFonts w:ascii="Trebuchet MS" w:eastAsia="Calibri" w:hAnsi="Trebuchet MS" w:cs="Calibri"/>
          <w:i/>
          <w:szCs w:val="24"/>
        </w:rPr>
        <w:t xml:space="preserve">Escobedo v Illinois </w:t>
      </w:r>
      <w:r w:rsidRPr="00C75607">
        <w:rPr>
          <w:rFonts w:ascii="Trebuchet MS" w:eastAsia="Calibri" w:hAnsi="Trebuchet MS" w:cs="Calibri"/>
          <w:szCs w:val="24"/>
        </w:rPr>
        <w:t>(1964)</w:t>
      </w:r>
    </w:p>
    <w:p w14:paraId="60E7DBD5" w14:textId="77777777" w:rsidR="00C75607" w:rsidRPr="00C75607" w:rsidRDefault="00C75607" w:rsidP="00C75607">
      <w:pPr>
        <w:pStyle w:val="ListParagraph"/>
        <w:numPr>
          <w:ilvl w:val="0"/>
          <w:numId w:val="16"/>
        </w:numPr>
        <w:spacing w:line="259" w:lineRule="auto"/>
        <w:ind w:left="2160"/>
        <w:contextualSpacing w:val="0"/>
        <w:rPr>
          <w:rFonts w:ascii="Trebuchet MS" w:eastAsia="Calibri" w:hAnsi="Trebuchet MS" w:cs="Calibri"/>
          <w:i/>
          <w:szCs w:val="24"/>
        </w:rPr>
      </w:pPr>
      <w:r w:rsidRPr="00C75607">
        <w:rPr>
          <w:rFonts w:ascii="Trebuchet MS" w:eastAsia="Calibri" w:hAnsi="Trebuchet MS" w:cs="Calibri"/>
          <w:i/>
          <w:szCs w:val="24"/>
        </w:rPr>
        <w:lastRenderedPageBreak/>
        <w:t xml:space="preserve">Miranda v Arizona </w:t>
      </w:r>
      <w:r w:rsidRPr="00C75607">
        <w:rPr>
          <w:rFonts w:ascii="Trebuchet MS" w:eastAsia="Calibri" w:hAnsi="Trebuchet MS" w:cs="Calibri"/>
          <w:szCs w:val="24"/>
        </w:rPr>
        <w:t>(1966)</w:t>
      </w:r>
    </w:p>
    <w:p w14:paraId="39E95BA3" w14:textId="77777777" w:rsidR="00C75607" w:rsidRPr="00C75607" w:rsidRDefault="00C75607" w:rsidP="00C75607">
      <w:pPr>
        <w:pStyle w:val="ListParagraph"/>
        <w:numPr>
          <w:ilvl w:val="0"/>
          <w:numId w:val="16"/>
        </w:numPr>
        <w:spacing w:line="259" w:lineRule="auto"/>
        <w:ind w:left="2160"/>
        <w:contextualSpacing w:val="0"/>
        <w:rPr>
          <w:rFonts w:ascii="Trebuchet MS" w:eastAsia="Calibri" w:hAnsi="Trebuchet MS" w:cs="Calibri"/>
          <w:i/>
          <w:szCs w:val="24"/>
        </w:rPr>
      </w:pPr>
      <w:r>
        <w:rPr>
          <w:rFonts w:ascii="Trebuchet MS" w:eastAsia="Calibri" w:hAnsi="Trebuchet MS" w:cs="Calibri"/>
          <w:i/>
          <w:szCs w:val="24"/>
        </w:rPr>
        <w:t xml:space="preserve">Alabama v. Shelton </w:t>
      </w:r>
      <w:r w:rsidRPr="00C75607">
        <w:rPr>
          <w:rFonts w:ascii="Trebuchet MS" w:eastAsia="Calibri" w:hAnsi="Trebuchet MS" w:cs="Calibri"/>
          <w:szCs w:val="24"/>
        </w:rPr>
        <w:t>(2002)</w:t>
      </w:r>
    </w:p>
    <w:p w14:paraId="486D4D36" w14:textId="77777777" w:rsidR="00C75607" w:rsidRPr="00C75607" w:rsidRDefault="00C75607" w:rsidP="00C75607">
      <w:pPr>
        <w:pStyle w:val="ListParagraph"/>
        <w:numPr>
          <w:ilvl w:val="0"/>
          <w:numId w:val="16"/>
        </w:numPr>
        <w:spacing w:line="259" w:lineRule="auto"/>
        <w:ind w:left="2160"/>
        <w:contextualSpacing w:val="0"/>
        <w:rPr>
          <w:rFonts w:ascii="Trebuchet MS" w:eastAsia="Calibri" w:hAnsi="Trebuchet MS" w:cs="Calibri"/>
          <w:sz w:val="24"/>
          <w:szCs w:val="28"/>
        </w:rPr>
      </w:pPr>
      <w:r>
        <w:rPr>
          <w:rFonts w:ascii="Trebuchet MS" w:eastAsia="Calibri" w:hAnsi="Trebuchet MS" w:cs="Calibri"/>
          <w:sz w:val="24"/>
          <w:szCs w:val="28"/>
        </w:rPr>
        <w:t>Chavez v. Martinez (2003)</w:t>
      </w:r>
    </w:p>
    <w:p w14:paraId="2437F805" w14:textId="77777777" w:rsidR="00C75607" w:rsidRPr="00C75607" w:rsidRDefault="00C75607" w:rsidP="00C75607">
      <w:pPr>
        <w:pStyle w:val="ListParagraph"/>
        <w:numPr>
          <w:ilvl w:val="0"/>
          <w:numId w:val="16"/>
        </w:numPr>
        <w:spacing w:line="259" w:lineRule="auto"/>
        <w:ind w:left="2160"/>
        <w:contextualSpacing w:val="0"/>
        <w:rPr>
          <w:rFonts w:ascii="Trebuchet MS" w:eastAsia="Calibri" w:hAnsi="Trebuchet MS" w:cs="Calibri"/>
          <w:sz w:val="24"/>
          <w:szCs w:val="28"/>
        </w:rPr>
      </w:pPr>
      <w:r>
        <w:rPr>
          <w:rFonts w:ascii="Trebuchet MS" w:eastAsia="Calibri" w:hAnsi="Trebuchet MS" w:cs="Calibri"/>
          <w:i/>
          <w:szCs w:val="24"/>
        </w:rPr>
        <w:t xml:space="preserve">Riley v. California </w:t>
      </w:r>
      <w:r w:rsidRPr="00C75607">
        <w:rPr>
          <w:rFonts w:ascii="Trebuchet MS" w:eastAsia="Calibri" w:hAnsi="Trebuchet MS" w:cs="Calibri"/>
          <w:szCs w:val="24"/>
        </w:rPr>
        <w:t>(2014)</w:t>
      </w:r>
    </w:p>
    <w:p w14:paraId="1232A4C5" w14:textId="77777777" w:rsidR="00C75607" w:rsidRPr="00C75607" w:rsidRDefault="00C75607" w:rsidP="00C75607">
      <w:pPr>
        <w:pStyle w:val="ListParagraph"/>
        <w:numPr>
          <w:ilvl w:val="0"/>
          <w:numId w:val="16"/>
        </w:numPr>
        <w:spacing w:line="259" w:lineRule="auto"/>
        <w:ind w:left="2160"/>
        <w:contextualSpacing w:val="0"/>
        <w:rPr>
          <w:rFonts w:ascii="Trebuchet MS" w:eastAsia="Calibri" w:hAnsi="Trebuchet MS" w:cs="Calibri"/>
          <w:szCs w:val="24"/>
        </w:rPr>
      </w:pPr>
      <w:r w:rsidRPr="00C75607">
        <w:rPr>
          <w:rFonts w:ascii="Trebuchet MS" w:eastAsia="Calibri" w:hAnsi="Trebuchet MS" w:cs="Calibri"/>
          <w:i/>
          <w:szCs w:val="24"/>
        </w:rPr>
        <w:t xml:space="preserve">McCoy v. Louisiana </w:t>
      </w:r>
      <w:r w:rsidRPr="00C75607">
        <w:rPr>
          <w:rFonts w:ascii="Trebuchet MS" w:eastAsia="Calibri" w:hAnsi="Trebuchet MS" w:cs="Calibri"/>
          <w:szCs w:val="24"/>
        </w:rPr>
        <w:t>(2018)</w:t>
      </w:r>
    </w:p>
    <w:p w14:paraId="3BE7E1F3" w14:textId="77777777" w:rsidR="000B5CDD" w:rsidRPr="00211389" w:rsidRDefault="000B5CDD">
      <w:pPr>
        <w:spacing w:after="160" w:line="259" w:lineRule="auto"/>
        <w:contextualSpacing w:val="0"/>
        <w:rPr>
          <w:rFonts w:ascii="Trebuchet MS" w:eastAsia="Calibri" w:hAnsi="Trebuchet MS" w:cs="Calibri"/>
          <w:szCs w:val="24"/>
          <w:u w:val="single"/>
        </w:rPr>
      </w:pPr>
    </w:p>
    <w:p w14:paraId="49D3EC96" w14:textId="77777777" w:rsidR="000B5CDD" w:rsidRPr="00211389" w:rsidRDefault="00654636">
      <w:pPr>
        <w:spacing w:after="160" w:line="259" w:lineRule="auto"/>
        <w:contextualSpacing w:val="0"/>
        <w:rPr>
          <w:rFonts w:ascii="Trebuchet MS" w:eastAsia="Calibri" w:hAnsi="Trebuchet MS" w:cs="Calibri"/>
          <w:szCs w:val="24"/>
          <w:u w:val="single"/>
        </w:rPr>
      </w:pPr>
      <w:r w:rsidRPr="00211389">
        <w:rPr>
          <w:rFonts w:ascii="Trebuchet MS" w:eastAsia="Calibri" w:hAnsi="Trebuchet MS" w:cs="Calibri"/>
          <w:szCs w:val="24"/>
          <w:u w:val="single"/>
        </w:rPr>
        <w:t xml:space="preserve">LOR-3: Protection of the Bill of Rights have been selectively incorporated by way of the Fourteenth Amendment’s due process clause to prevent state infringement of basic liberties </w:t>
      </w:r>
    </w:p>
    <w:p w14:paraId="62281101" w14:textId="77777777" w:rsidR="000B5CDD" w:rsidRPr="00211389" w:rsidRDefault="00654636" w:rsidP="00C75607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szCs w:val="24"/>
          <w:highlight w:val="yellow"/>
        </w:rPr>
      </w:pPr>
      <w:r w:rsidRPr="00211389">
        <w:rPr>
          <w:rFonts w:ascii="Trebuchet MS" w:eastAsia="Calibri" w:hAnsi="Trebuchet MS" w:cs="Calibri"/>
          <w:i/>
          <w:szCs w:val="24"/>
          <w:highlight w:val="yellow"/>
        </w:rPr>
        <w:t>Roe v. Wade</w:t>
      </w:r>
      <w:r w:rsidRPr="00211389">
        <w:rPr>
          <w:rFonts w:ascii="Trebuchet MS" w:eastAsia="Calibri" w:hAnsi="Trebuchet MS" w:cs="Calibri"/>
          <w:szCs w:val="24"/>
          <w:highlight w:val="yellow"/>
        </w:rPr>
        <w:t xml:space="preserve"> (1973)</w:t>
      </w:r>
    </w:p>
    <w:p w14:paraId="36213D63" w14:textId="77777777" w:rsidR="00C75607" w:rsidRPr="00C75607" w:rsidRDefault="00C75607" w:rsidP="00C75607">
      <w:pPr>
        <w:pStyle w:val="ListParagraph"/>
        <w:numPr>
          <w:ilvl w:val="1"/>
          <w:numId w:val="18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75607">
        <w:rPr>
          <w:rFonts w:ascii="Trebuchet MS" w:eastAsia="Calibri" w:hAnsi="Trebuchet MS" w:cs="Calibri"/>
          <w:i/>
          <w:szCs w:val="24"/>
        </w:rPr>
        <w:t>Planned Parenthood of Eastern Pennsylvania v. Casey</w:t>
      </w:r>
      <w:r>
        <w:rPr>
          <w:rFonts w:ascii="Trebuchet MS" w:eastAsia="Calibri" w:hAnsi="Trebuchet MS" w:cs="Calibri"/>
          <w:szCs w:val="24"/>
        </w:rPr>
        <w:t xml:space="preserve"> (1992)</w:t>
      </w:r>
    </w:p>
    <w:p w14:paraId="343CD9A1" w14:textId="77777777" w:rsidR="000B5CDD" w:rsidRPr="00C75607" w:rsidRDefault="00654636" w:rsidP="00C75607">
      <w:pPr>
        <w:pStyle w:val="ListParagraph"/>
        <w:numPr>
          <w:ilvl w:val="1"/>
          <w:numId w:val="18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75607">
        <w:rPr>
          <w:rFonts w:ascii="Trebuchet MS" w:eastAsia="Calibri" w:hAnsi="Trebuchet MS" w:cs="Calibri"/>
          <w:i/>
          <w:szCs w:val="24"/>
        </w:rPr>
        <w:t>Washington v. Glucksberg</w:t>
      </w:r>
      <w:r w:rsidRPr="00C75607">
        <w:rPr>
          <w:rFonts w:ascii="Trebuchet MS" w:eastAsia="Calibri" w:hAnsi="Trebuchet MS" w:cs="Calibri"/>
          <w:szCs w:val="24"/>
        </w:rPr>
        <w:t xml:space="preserve"> (1997)</w:t>
      </w:r>
    </w:p>
    <w:p w14:paraId="1D75C716" w14:textId="77777777" w:rsidR="000B5CDD" w:rsidRDefault="00654636" w:rsidP="00C75607">
      <w:pPr>
        <w:pStyle w:val="ListParagraph"/>
        <w:numPr>
          <w:ilvl w:val="1"/>
          <w:numId w:val="18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75607">
        <w:rPr>
          <w:rFonts w:ascii="Trebuchet MS" w:eastAsia="Calibri" w:hAnsi="Trebuchet MS" w:cs="Calibri"/>
          <w:i/>
          <w:szCs w:val="24"/>
        </w:rPr>
        <w:t>Lawrence v. Texas</w:t>
      </w:r>
      <w:r w:rsidR="00C75607">
        <w:rPr>
          <w:rFonts w:ascii="Trebuchet MS" w:eastAsia="Calibri" w:hAnsi="Trebuchet MS" w:cs="Calibri"/>
          <w:szCs w:val="24"/>
        </w:rPr>
        <w:t xml:space="preserve"> </w:t>
      </w:r>
      <w:r w:rsidRPr="00C75607">
        <w:rPr>
          <w:rFonts w:ascii="Trebuchet MS" w:eastAsia="Calibri" w:hAnsi="Trebuchet MS" w:cs="Calibri"/>
          <w:szCs w:val="24"/>
        </w:rPr>
        <w:t>(2003)</w:t>
      </w:r>
    </w:p>
    <w:p w14:paraId="4A63696A" w14:textId="77777777" w:rsidR="00C75607" w:rsidRPr="00C75607" w:rsidRDefault="00C75607" w:rsidP="00C75607">
      <w:pPr>
        <w:pStyle w:val="ListParagraph"/>
        <w:numPr>
          <w:ilvl w:val="1"/>
          <w:numId w:val="18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>
        <w:rPr>
          <w:rFonts w:ascii="Trebuchet MS" w:eastAsia="Calibri" w:hAnsi="Trebuchet MS" w:cs="Calibri"/>
          <w:i/>
          <w:szCs w:val="24"/>
        </w:rPr>
        <w:t xml:space="preserve">Whole Woman’s Health v. Hellerstedt </w:t>
      </w:r>
      <w:r w:rsidRPr="00C75607">
        <w:rPr>
          <w:rFonts w:ascii="Trebuchet MS" w:eastAsia="Calibri" w:hAnsi="Trebuchet MS" w:cs="Calibri"/>
          <w:szCs w:val="24"/>
        </w:rPr>
        <w:t>(2016)</w:t>
      </w:r>
    </w:p>
    <w:p w14:paraId="62CFD9DA" w14:textId="77777777" w:rsidR="000B5CDD" w:rsidRPr="00211389" w:rsidRDefault="000B5CDD">
      <w:pPr>
        <w:spacing w:after="160" w:line="259" w:lineRule="auto"/>
        <w:contextualSpacing w:val="0"/>
        <w:rPr>
          <w:rFonts w:ascii="Trebuchet MS" w:eastAsia="Calibri" w:hAnsi="Trebuchet MS" w:cs="Calibri"/>
          <w:szCs w:val="24"/>
          <w:u w:val="single"/>
        </w:rPr>
      </w:pPr>
    </w:p>
    <w:p w14:paraId="5AE571EF" w14:textId="77777777" w:rsidR="000B5CDD" w:rsidRPr="00211389" w:rsidRDefault="00654636">
      <w:pPr>
        <w:spacing w:after="160" w:line="259" w:lineRule="auto"/>
        <w:contextualSpacing w:val="0"/>
        <w:rPr>
          <w:rFonts w:ascii="Trebuchet MS" w:eastAsia="Calibri" w:hAnsi="Trebuchet MS" w:cs="Calibri"/>
          <w:szCs w:val="24"/>
          <w:u w:val="single"/>
        </w:rPr>
      </w:pPr>
      <w:r w:rsidRPr="00211389">
        <w:rPr>
          <w:rFonts w:ascii="Trebuchet MS" w:eastAsia="Calibri" w:hAnsi="Trebuchet MS" w:cs="Calibri"/>
          <w:szCs w:val="24"/>
          <w:u w:val="single"/>
        </w:rPr>
        <w:t xml:space="preserve">LOR-3: Protection of the Bill of Rights have been selectively incorporated by way of the Fourteenth Amendment’s due process clause to prevent state infringement of basic liberties </w:t>
      </w:r>
    </w:p>
    <w:p w14:paraId="2F50D3B0" w14:textId="77777777" w:rsidR="000B5CDD" w:rsidRPr="00211389" w:rsidRDefault="00654636" w:rsidP="00C75607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szCs w:val="24"/>
          <w:highlight w:val="yellow"/>
        </w:rPr>
      </w:pPr>
      <w:r w:rsidRPr="00211389">
        <w:rPr>
          <w:rFonts w:ascii="Trebuchet MS" w:eastAsia="Calibri" w:hAnsi="Trebuchet MS" w:cs="Calibri"/>
          <w:i/>
          <w:szCs w:val="24"/>
          <w:highlight w:val="yellow"/>
        </w:rPr>
        <w:t>McDonald v. Chicago</w:t>
      </w:r>
      <w:r w:rsidRPr="00211389">
        <w:rPr>
          <w:rFonts w:ascii="Trebuchet MS" w:eastAsia="Calibri" w:hAnsi="Trebuchet MS" w:cs="Calibri"/>
          <w:szCs w:val="24"/>
          <w:highlight w:val="yellow"/>
        </w:rPr>
        <w:t xml:space="preserve"> (2010)</w:t>
      </w:r>
    </w:p>
    <w:p w14:paraId="4AD5D610" w14:textId="77777777" w:rsidR="00C75607" w:rsidRDefault="00C75607" w:rsidP="00C75607">
      <w:pPr>
        <w:pStyle w:val="ListParagraph"/>
        <w:numPr>
          <w:ilvl w:val="0"/>
          <w:numId w:val="19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75607">
        <w:rPr>
          <w:rFonts w:ascii="Trebuchet MS" w:eastAsia="Calibri" w:hAnsi="Trebuchet MS" w:cs="Calibri"/>
          <w:i/>
          <w:szCs w:val="24"/>
        </w:rPr>
        <w:t>Mapp v. Ohio</w:t>
      </w:r>
      <w:r>
        <w:rPr>
          <w:rFonts w:ascii="Trebuchet MS" w:eastAsia="Calibri" w:hAnsi="Trebuchet MS" w:cs="Calibri"/>
          <w:szCs w:val="24"/>
        </w:rPr>
        <w:t xml:space="preserve"> (1961)</w:t>
      </w:r>
    </w:p>
    <w:p w14:paraId="0881F676" w14:textId="77777777" w:rsidR="00C75607" w:rsidRPr="00C75607" w:rsidRDefault="00C75607" w:rsidP="00C75607">
      <w:pPr>
        <w:pStyle w:val="ListParagraph"/>
        <w:numPr>
          <w:ilvl w:val="0"/>
          <w:numId w:val="19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75607">
        <w:rPr>
          <w:rFonts w:ascii="Trebuchet MS" w:eastAsia="Calibri" w:hAnsi="Trebuchet MS" w:cs="Calibri"/>
          <w:i/>
          <w:szCs w:val="24"/>
        </w:rPr>
        <w:t>D.C. v. Heller</w:t>
      </w:r>
      <w:r>
        <w:rPr>
          <w:rFonts w:ascii="Trebuchet MS" w:eastAsia="Calibri" w:hAnsi="Trebuchet MS" w:cs="Calibri"/>
          <w:szCs w:val="24"/>
        </w:rPr>
        <w:t xml:space="preserve"> (2008)</w:t>
      </w:r>
    </w:p>
    <w:p w14:paraId="7CD8CDC0" w14:textId="77777777" w:rsidR="000B5CDD" w:rsidRPr="00C75607" w:rsidRDefault="00654636" w:rsidP="00C75607">
      <w:pPr>
        <w:pStyle w:val="ListParagraph"/>
        <w:numPr>
          <w:ilvl w:val="0"/>
          <w:numId w:val="19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75607">
        <w:rPr>
          <w:rFonts w:ascii="Trebuchet MS" w:eastAsia="Calibri" w:hAnsi="Trebuchet MS" w:cs="Calibri"/>
          <w:i/>
          <w:szCs w:val="24"/>
        </w:rPr>
        <w:t>Caetano v. Massachusetts</w:t>
      </w:r>
      <w:r w:rsidRPr="00C75607">
        <w:rPr>
          <w:rFonts w:ascii="Trebuchet MS" w:eastAsia="Calibri" w:hAnsi="Trebuchet MS" w:cs="Calibri"/>
          <w:szCs w:val="24"/>
        </w:rPr>
        <w:t xml:space="preserve"> (2016)</w:t>
      </w:r>
    </w:p>
    <w:p w14:paraId="245A4A7E" w14:textId="77777777" w:rsidR="000B5CDD" w:rsidRPr="00211389" w:rsidRDefault="000B5CDD">
      <w:pPr>
        <w:spacing w:after="160" w:line="259" w:lineRule="auto"/>
        <w:contextualSpacing w:val="0"/>
        <w:rPr>
          <w:rFonts w:ascii="Trebuchet MS" w:eastAsia="Calibri" w:hAnsi="Trebuchet MS" w:cs="Calibri"/>
          <w:szCs w:val="24"/>
          <w:u w:val="single"/>
        </w:rPr>
      </w:pPr>
    </w:p>
    <w:p w14:paraId="36E89479" w14:textId="77777777" w:rsidR="000B5CDD" w:rsidRPr="00211389" w:rsidRDefault="00654636">
      <w:pPr>
        <w:spacing w:after="160" w:line="259" w:lineRule="auto"/>
        <w:contextualSpacing w:val="0"/>
        <w:rPr>
          <w:rFonts w:ascii="Trebuchet MS" w:eastAsia="Calibri" w:hAnsi="Trebuchet MS" w:cs="Calibri"/>
          <w:szCs w:val="24"/>
          <w:u w:val="single"/>
        </w:rPr>
      </w:pPr>
      <w:r w:rsidRPr="00211389">
        <w:rPr>
          <w:rFonts w:ascii="Trebuchet MS" w:eastAsia="Calibri" w:hAnsi="Trebuchet MS" w:cs="Calibri"/>
          <w:szCs w:val="24"/>
          <w:u w:val="single"/>
        </w:rPr>
        <w:t>PRD-1: The 14</w:t>
      </w:r>
      <w:r w:rsidRPr="00211389">
        <w:rPr>
          <w:rFonts w:ascii="Trebuchet MS" w:eastAsia="Calibri" w:hAnsi="Trebuchet MS" w:cs="Calibri"/>
          <w:szCs w:val="24"/>
          <w:u w:val="single"/>
          <w:vertAlign w:val="superscript"/>
        </w:rPr>
        <w:t>th</w:t>
      </w:r>
      <w:r w:rsidRPr="00211389">
        <w:rPr>
          <w:rFonts w:ascii="Trebuchet MS" w:eastAsia="Calibri" w:hAnsi="Trebuchet MS" w:cs="Calibri"/>
          <w:szCs w:val="24"/>
          <w:u w:val="single"/>
        </w:rPr>
        <w:t xml:space="preserve"> Amendment’s equal protection clause as well as other constitutional provisions have often been used to support the advancement of equality</w:t>
      </w:r>
    </w:p>
    <w:p w14:paraId="1394B17D" w14:textId="77777777" w:rsidR="000B5CDD" w:rsidRPr="00211389" w:rsidRDefault="00654636" w:rsidP="00C75607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szCs w:val="24"/>
          <w:highlight w:val="yellow"/>
        </w:rPr>
      </w:pPr>
      <w:r w:rsidRPr="00211389">
        <w:rPr>
          <w:rFonts w:ascii="Trebuchet MS" w:eastAsia="Calibri" w:hAnsi="Trebuchet MS" w:cs="Calibri"/>
          <w:i/>
          <w:szCs w:val="24"/>
          <w:highlight w:val="yellow"/>
        </w:rPr>
        <w:t>Brown v. Board of Education</w:t>
      </w:r>
      <w:r w:rsidRPr="00211389">
        <w:rPr>
          <w:rFonts w:ascii="Trebuchet MS" w:eastAsia="Calibri" w:hAnsi="Trebuchet MS" w:cs="Calibri"/>
          <w:szCs w:val="24"/>
          <w:highlight w:val="yellow"/>
        </w:rPr>
        <w:t xml:space="preserve"> (1954)</w:t>
      </w:r>
    </w:p>
    <w:p w14:paraId="4A69BF7B" w14:textId="77777777" w:rsidR="000B5CDD" w:rsidRPr="00C75607" w:rsidRDefault="00654636" w:rsidP="00C75607">
      <w:pPr>
        <w:pStyle w:val="ListParagraph"/>
        <w:numPr>
          <w:ilvl w:val="0"/>
          <w:numId w:val="20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75607">
        <w:rPr>
          <w:rFonts w:ascii="Trebuchet MS" w:eastAsia="Calibri" w:hAnsi="Trebuchet MS" w:cs="Calibri"/>
          <w:i/>
          <w:szCs w:val="24"/>
        </w:rPr>
        <w:t>Regents of University of California v. Bakke</w:t>
      </w:r>
      <w:r w:rsidRPr="00C75607">
        <w:rPr>
          <w:rFonts w:ascii="Trebuchet MS" w:eastAsia="Calibri" w:hAnsi="Trebuchet MS" w:cs="Calibri"/>
          <w:szCs w:val="24"/>
        </w:rPr>
        <w:t xml:space="preserve"> (1978)</w:t>
      </w:r>
    </w:p>
    <w:p w14:paraId="55E3BEEE" w14:textId="77777777" w:rsidR="000B5CDD" w:rsidRPr="00C75607" w:rsidRDefault="00C75607" w:rsidP="00C75607">
      <w:pPr>
        <w:pStyle w:val="ListParagraph"/>
        <w:numPr>
          <w:ilvl w:val="0"/>
          <w:numId w:val="20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>
        <w:rPr>
          <w:rFonts w:ascii="Trebuchet MS" w:eastAsia="Calibri" w:hAnsi="Trebuchet MS" w:cs="Calibri"/>
          <w:i/>
          <w:szCs w:val="24"/>
        </w:rPr>
        <w:t xml:space="preserve">Gratz v. Bollinger </w:t>
      </w:r>
      <w:r w:rsidRPr="00C75607">
        <w:rPr>
          <w:rFonts w:ascii="Trebuchet MS" w:eastAsia="Calibri" w:hAnsi="Trebuchet MS" w:cs="Calibri"/>
          <w:szCs w:val="24"/>
          <w:u w:val="single"/>
        </w:rPr>
        <w:t xml:space="preserve">and </w:t>
      </w:r>
      <w:r w:rsidR="00654636" w:rsidRPr="00C75607">
        <w:rPr>
          <w:rFonts w:ascii="Trebuchet MS" w:eastAsia="Calibri" w:hAnsi="Trebuchet MS" w:cs="Calibri"/>
          <w:i/>
          <w:szCs w:val="24"/>
        </w:rPr>
        <w:t>Grutter v. Bollinger</w:t>
      </w:r>
      <w:r w:rsidR="00654636" w:rsidRPr="00C75607">
        <w:rPr>
          <w:rFonts w:ascii="Trebuchet MS" w:eastAsia="Calibri" w:hAnsi="Trebuchet MS" w:cs="Calibri"/>
          <w:szCs w:val="24"/>
        </w:rPr>
        <w:t xml:space="preserve"> (2003)</w:t>
      </w:r>
    </w:p>
    <w:p w14:paraId="1D2083DC" w14:textId="77777777" w:rsidR="000B5CDD" w:rsidRPr="00C75607" w:rsidRDefault="00654636" w:rsidP="00C75607">
      <w:pPr>
        <w:pStyle w:val="ListParagraph"/>
        <w:numPr>
          <w:ilvl w:val="0"/>
          <w:numId w:val="20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75607">
        <w:rPr>
          <w:rFonts w:ascii="Trebuchet MS" w:eastAsia="Calibri" w:hAnsi="Trebuchet MS" w:cs="Calibri"/>
          <w:i/>
          <w:szCs w:val="24"/>
        </w:rPr>
        <w:t>Parents Involved in Cmty. Sch. v. Seattle Sch. Dist. No. 1</w:t>
      </w:r>
      <w:r w:rsidRPr="00C75607">
        <w:rPr>
          <w:rFonts w:ascii="Trebuchet MS" w:eastAsia="Calibri" w:hAnsi="Trebuchet MS" w:cs="Calibri"/>
          <w:szCs w:val="24"/>
        </w:rPr>
        <w:t xml:space="preserve"> (2007) </w:t>
      </w:r>
    </w:p>
    <w:p w14:paraId="036F48C5" w14:textId="77777777" w:rsidR="000B5CDD" w:rsidRDefault="00654636" w:rsidP="00C75607">
      <w:pPr>
        <w:pStyle w:val="ListParagraph"/>
        <w:numPr>
          <w:ilvl w:val="0"/>
          <w:numId w:val="20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75607">
        <w:rPr>
          <w:rFonts w:ascii="Trebuchet MS" w:eastAsia="Calibri" w:hAnsi="Trebuchet MS" w:cs="Calibri"/>
          <w:i/>
          <w:szCs w:val="24"/>
        </w:rPr>
        <w:t>Fisher v. University of Texas at Austin (Fisher II</w:t>
      </w:r>
      <w:r w:rsidR="00C75607">
        <w:rPr>
          <w:rFonts w:ascii="Trebuchet MS" w:eastAsia="Calibri" w:hAnsi="Trebuchet MS" w:cs="Calibri"/>
          <w:i/>
          <w:szCs w:val="24"/>
        </w:rPr>
        <w:t>)</w:t>
      </w:r>
      <w:r w:rsidRPr="00C75607">
        <w:rPr>
          <w:rFonts w:ascii="Trebuchet MS" w:eastAsia="Calibri" w:hAnsi="Trebuchet MS" w:cs="Calibri"/>
          <w:szCs w:val="24"/>
        </w:rPr>
        <w:t xml:space="preserve"> (2016)</w:t>
      </w:r>
    </w:p>
    <w:p w14:paraId="5F4769BB" w14:textId="77777777" w:rsidR="00C75607" w:rsidRPr="003679FA" w:rsidRDefault="00C75607" w:rsidP="00C75607">
      <w:pPr>
        <w:pStyle w:val="ListParagraph"/>
        <w:numPr>
          <w:ilvl w:val="0"/>
          <w:numId w:val="20"/>
        </w:numPr>
        <w:spacing w:line="240" w:lineRule="auto"/>
        <w:contextualSpacing w:val="0"/>
        <w:rPr>
          <w:rFonts w:ascii="Trebuchet MS" w:eastAsia="Calibri" w:hAnsi="Trebuchet MS" w:cs="Calibri"/>
        </w:rPr>
      </w:pPr>
      <w:r w:rsidRPr="003679FA">
        <w:rPr>
          <w:rFonts w:ascii="Trebuchet MS" w:eastAsia="Calibri" w:hAnsi="Trebuchet MS" w:cs="Calibri"/>
          <w:bCs/>
          <w:i/>
          <w:iCs/>
        </w:rPr>
        <w:t xml:space="preserve">Obergefell v. Hodges </w:t>
      </w:r>
      <w:r w:rsidRPr="003679FA">
        <w:rPr>
          <w:rFonts w:ascii="Trebuchet MS" w:eastAsia="Calibri" w:hAnsi="Trebuchet MS" w:cs="Calibri"/>
          <w:bCs/>
          <w:iCs/>
        </w:rPr>
        <w:t>(2015)</w:t>
      </w:r>
    </w:p>
    <w:p w14:paraId="51B025AA" w14:textId="77777777" w:rsidR="000B5CDD" w:rsidRPr="00211389" w:rsidRDefault="000B5CDD">
      <w:pPr>
        <w:spacing w:after="160" w:line="259" w:lineRule="auto"/>
        <w:contextualSpacing w:val="0"/>
        <w:rPr>
          <w:rFonts w:ascii="Trebuchet MS" w:eastAsia="Calibri" w:hAnsi="Trebuchet MS" w:cs="Calibri"/>
          <w:szCs w:val="24"/>
          <w:u w:val="single"/>
        </w:rPr>
      </w:pPr>
    </w:p>
    <w:p w14:paraId="6DA1D8D3" w14:textId="77777777" w:rsidR="000B5CDD" w:rsidRPr="00211389" w:rsidRDefault="00654636">
      <w:pPr>
        <w:spacing w:after="160" w:line="259" w:lineRule="auto"/>
        <w:contextualSpacing w:val="0"/>
        <w:rPr>
          <w:rFonts w:ascii="Trebuchet MS" w:eastAsia="Calibri" w:hAnsi="Trebuchet MS" w:cs="Calibri"/>
          <w:szCs w:val="24"/>
          <w:u w:val="single"/>
        </w:rPr>
      </w:pPr>
      <w:r w:rsidRPr="00211389">
        <w:rPr>
          <w:rFonts w:ascii="Trebuchet MS" w:eastAsia="Calibri" w:hAnsi="Trebuchet MS" w:cs="Calibri"/>
          <w:szCs w:val="24"/>
          <w:u w:val="single"/>
        </w:rPr>
        <w:t>PRD-2: The impact of federal policies on campaigning and electoral rules continues to be contested by both sides of the political spectrum</w:t>
      </w:r>
    </w:p>
    <w:p w14:paraId="75081055" w14:textId="77777777" w:rsidR="000B5CDD" w:rsidRPr="00211389" w:rsidRDefault="00654636" w:rsidP="00C75607">
      <w:pPr>
        <w:spacing w:after="160" w:line="259" w:lineRule="auto"/>
        <w:ind w:left="720"/>
        <w:contextualSpacing w:val="0"/>
        <w:rPr>
          <w:rFonts w:ascii="Trebuchet MS" w:eastAsia="Calibri" w:hAnsi="Trebuchet MS" w:cs="Calibri"/>
          <w:szCs w:val="24"/>
          <w:highlight w:val="yellow"/>
        </w:rPr>
      </w:pPr>
      <w:r w:rsidRPr="00211389">
        <w:rPr>
          <w:rFonts w:ascii="Trebuchet MS" w:eastAsia="Calibri" w:hAnsi="Trebuchet MS" w:cs="Calibri"/>
          <w:i/>
          <w:szCs w:val="24"/>
          <w:highlight w:val="yellow"/>
        </w:rPr>
        <w:t>Citizens United v. Federal Election Commission</w:t>
      </w:r>
      <w:r w:rsidRPr="00211389">
        <w:rPr>
          <w:rFonts w:ascii="Trebuchet MS" w:eastAsia="Calibri" w:hAnsi="Trebuchet MS" w:cs="Calibri"/>
          <w:szCs w:val="24"/>
          <w:highlight w:val="yellow"/>
        </w:rPr>
        <w:t xml:space="preserve"> (2010)</w:t>
      </w:r>
    </w:p>
    <w:p w14:paraId="51678C7B" w14:textId="77777777" w:rsidR="00C75607" w:rsidRPr="00C75607" w:rsidRDefault="00C75607" w:rsidP="00C75607">
      <w:pPr>
        <w:pStyle w:val="ListParagraph"/>
        <w:numPr>
          <w:ilvl w:val="0"/>
          <w:numId w:val="21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BD6905">
        <w:rPr>
          <w:rFonts w:ascii="Trebuchet MS" w:eastAsia="Calibri" w:hAnsi="Trebuchet MS" w:cs="Calibri"/>
          <w:i/>
          <w:szCs w:val="24"/>
        </w:rPr>
        <w:t>Buckley v. Valeo</w:t>
      </w:r>
      <w:r w:rsidRPr="00C75607">
        <w:rPr>
          <w:rFonts w:ascii="Trebuchet MS" w:eastAsia="Calibri" w:hAnsi="Trebuchet MS" w:cs="Calibri"/>
          <w:szCs w:val="24"/>
        </w:rPr>
        <w:t xml:space="preserve"> (1976)</w:t>
      </w:r>
    </w:p>
    <w:p w14:paraId="0C85316A" w14:textId="77777777" w:rsidR="00C75607" w:rsidRPr="00C75607" w:rsidRDefault="00C75607" w:rsidP="00C75607">
      <w:pPr>
        <w:pStyle w:val="ListParagraph"/>
        <w:numPr>
          <w:ilvl w:val="0"/>
          <w:numId w:val="21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BD6905">
        <w:rPr>
          <w:rFonts w:ascii="Trebuchet MS" w:eastAsia="Calibri" w:hAnsi="Trebuchet MS" w:cs="Calibri"/>
          <w:i/>
          <w:szCs w:val="24"/>
        </w:rPr>
        <w:t>McConnell v. FEC</w:t>
      </w:r>
      <w:r w:rsidRPr="00C75607">
        <w:rPr>
          <w:rFonts w:ascii="Trebuchet MS" w:eastAsia="Calibri" w:hAnsi="Trebuchet MS" w:cs="Calibri"/>
          <w:szCs w:val="24"/>
        </w:rPr>
        <w:t xml:space="preserve"> (2002)</w:t>
      </w:r>
    </w:p>
    <w:p w14:paraId="6CC5641B" w14:textId="77777777" w:rsidR="00C75607" w:rsidRPr="00C75607" w:rsidRDefault="00C75607" w:rsidP="00C75607">
      <w:pPr>
        <w:pStyle w:val="ListParagraph"/>
        <w:numPr>
          <w:ilvl w:val="0"/>
          <w:numId w:val="21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75607">
        <w:rPr>
          <w:rFonts w:ascii="Trebuchet MS" w:eastAsia="Calibri" w:hAnsi="Trebuchet MS" w:cs="Calibri"/>
          <w:i/>
          <w:szCs w:val="24"/>
        </w:rPr>
        <w:t>Randall v. Sorrell</w:t>
      </w:r>
      <w:r>
        <w:rPr>
          <w:rFonts w:ascii="Trebuchet MS" w:eastAsia="Calibri" w:hAnsi="Trebuchet MS" w:cs="Calibri"/>
          <w:szCs w:val="24"/>
        </w:rPr>
        <w:t xml:space="preserve"> (2006)</w:t>
      </w:r>
    </w:p>
    <w:p w14:paraId="6B9E4D47" w14:textId="77777777" w:rsidR="00C75607" w:rsidRDefault="00C75607" w:rsidP="00C75607">
      <w:pPr>
        <w:pStyle w:val="ListParagraph"/>
        <w:numPr>
          <w:ilvl w:val="0"/>
          <w:numId w:val="21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75607">
        <w:rPr>
          <w:rFonts w:ascii="Trebuchet MS" w:eastAsia="Calibri" w:hAnsi="Trebuchet MS" w:cs="Calibri"/>
          <w:i/>
          <w:szCs w:val="24"/>
        </w:rPr>
        <w:t>Arizona Free Enterprise Club's Freedom Club PAC v. Bennett</w:t>
      </w:r>
      <w:r>
        <w:rPr>
          <w:rFonts w:ascii="Trebuchet MS" w:eastAsia="Calibri" w:hAnsi="Trebuchet MS" w:cs="Calibri"/>
          <w:szCs w:val="24"/>
        </w:rPr>
        <w:t xml:space="preserve"> </w:t>
      </w:r>
      <w:r w:rsidRPr="00C75607">
        <w:rPr>
          <w:rFonts w:ascii="Trebuchet MS" w:eastAsia="Calibri" w:hAnsi="Trebuchet MS" w:cs="Calibri"/>
          <w:szCs w:val="24"/>
        </w:rPr>
        <w:t>(2011)</w:t>
      </w:r>
    </w:p>
    <w:p w14:paraId="3307852B" w14:textId="77777777" w:rsidR="000B5CDD" w:rsidRPr="00C75607" w:rsidRDefault="00654636" w:rsidP="00C75607">
      <w:pPr>
        <w:pStyle w:val="ListParagraph"/>
        <w:numPr>
          <w:ilvl w:val="0"/>
          <w:numId w:val="21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 w:rsidRPr="00C75607">
        <w:rPr>
          <w:rFonts w:ascii="Trebuchet MS" w:eastAsia="Calibri" w:hAnsi="Trebuchet MS" w:cs="Calibri"/>
          <w:i/>
          <w:szCs w:val="24"/>
        </w:rPr>
        <w:t>McCutc</w:t>
      </w:r>
      <w:r w:rsidR="00C75607">
        <w:rPr>
          <w:rFonts w:ascii="Trebuchet MS" w:eastAsia="Calibri" w:hAnsi="Trebuchet MS" w:cs="Calibri"/>
          <w:i/>
          <w:szCs w:val="24"/>
        </w:rPr>
        <w:t>heon v. Federal Election Commissio</w:t>
      </w:r>
      <w:r w:rsidRPr="00C75607">
        <w:rPr>
          <w:rFonts w:ascii="Trebuchet MS" w:eastAsia="Calibri" w:hAnsi="Trebuchet MS" w:cs="Calibri"/>
          <w:i/>
          <w:szCs w:val="24"/>
        </w:rPr>
        <w:t>n</w:t>
      </w:r>
      <w:r w:rsidR="00C75607">
        <w:rPr>
          <w:rFonts w:ascii="Trebuchet MS" w:eastAsia="Calibri" w:hAnsi="Trebuchet MS" w:cs="Calibri"/>
          <w:szCs w:val="24"/>
        </w:rPr>
        <w:t xml:space="preserve"> </w:t>
      </w:r>
      <w:r w:rsidRPr="00C75607">
        <w:rPr>
          <w:rFonts w:ascii="Trebuchet MS" w:eastAsia="Calibri" w:hAnsi="Trebuchet MS" w:cs="Calibri"/>
          <w:szCs w:val="24"/>
        </w:rPr>
        <w:t>(2014)</w:t>
      </w:r>
    </w:p>
    <w:p w14:paraId="428C9D82" w14:textId="77777777" w:rsidR="00C75607" w:rsidRPr="00C75607" w:rsidRDefault="00C75607" w:rsidP="00C75607">
      <w:pPr>
        <w:pStyle w:val="ListParagraph"/>
        <w:numPr>
          <w:ilvl w:val="0"/>
          <w:numId w:val="21"/>
        </w:numPr>
        <w:spacing w:line="259" w:lineRule="auto"/>
        <w:contextualSpacing w:val="0"/>
        <w:rPr>
          <w:rFonts w:ascii="Trebuchet MS" w:eastAsia="Calibri" w:hAnsi="Trebuchet MS" w:cs="Calibri"/>
          <w:szCs w:val="24"/>
        </w:rPr>
      </w:pPr>
      <w:r>
        <w:rPr>
          <w:rFonts w:ascii="Trebuchet MS" w:eastAsia="Calibri" w:hAnsi="Trebuchet MS" w:cs="Calibri"/>
          <w:i/>
          <w:szCs w:val="24"/>
        </w:rPr>
        <w:t xml:space="preserve">Williams-Yulee v. The Florida Bar </w:t>
      </w:r>
      <w:r w:rsidRPr="00C75607">
        <w:rPr>
          <w:rFonts w:ascii="Trebuchet MS" w:eastAsia="Calibri" w:hAnsi="Trebuchet MS" w:cs="Calibri"/>
          <w:szCs w:val="24"/>
        </w:rPr>
        <w:t>(2015)</w:t>
      </w:r>
    </w:p>
    <w:sectPr w:rsidR="00C75607" w:rsidRPr="00C75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A294" w14:textId="77777777" w:rsidR="00833B46" w:rsidRDefault="00833B46">
      <w:pPr>
        <w:spacing w:line="240" w:lineRule="auto"/>
      </w:pPr>
      <w:r>
        <w:separator/>
      </w:r>
    </w:p>
  </w:endnote>
  <w:endnote w:type="continuationSeparator" w:id="0">
    <w:p w14:paraId="7B4B51E2" w14:textId="77777777" w:rsidR="00833B46" w:rsidRDefault="00833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A785" w14:textId="77777777" w:rsidR="00034AF4" w:rsidRDefault="00034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D555" w14:textId="77777777" w:rsidR="00034AF4" w:rsidRDefault="00034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0BD6" w14:textId="77777777" w:rsidR="00034AF4" w:rsidRDefault="00034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0B475" w14:textId="77777777" w:rsidR="00833B46" w:rsidRDefault="00833B46">
      <w:pPr>
        <w:spacing w:line="240" w:lineRule="auto"/>
      </w:pPr>
      <w:r>
        <w:separator/>
      </w:r>
    </w:p>
  </w:footnote>
  <w:footnote w:type="continuationSeparator" w:id="0">
    <w:p w14:paraId="5DF23F6B" w14:textId="77777777" w:rsidR="00833B46" w:rsidRDefault="00833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6602" w14:textId="77777777" w:rsidR="00034AF4" w:rsidRDefault="00034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8F63" w14:textId="77777777" w:rsidR="000B5CDD" w:rsidRDefault="000B5CDD">
    <w:pPr>
      <w:contextualSpacing w:val="0"/>
    </w:pPr>
  </w:p>
  <w:p w14:paraId="569699F6" w14:textId="77777777" w:rsidR="000B5CDD" w:rsidRDefault="000B5CDD">
    <w:pPr>
      <w:contextualSpacing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BC24" w14:textId="77777777" w:rsidR="00034AF4" w:rsidRDefault="00034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7229"/>
    <w:multiLevelType w:val="hybridMultilevel"/>
    <w:tmpl w:val="99500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051F"/>
    <w:multiLevelType w:val="hybridMultilevel"/>
    <w:tmpl w:val="44E42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341F6"/>
    <w:multiLevelType w:val="hybridMultilevel"/>
    <w:tmpl w:val="6A9A32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02549C"/>
    <w:multiLevelType w:val="hybridMultilevel"/>
    <w:tmpl w:val="6F7C71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8740AB0"/>
    <w:multiLevelType w:val="hybridMultilevel"/>
    <w:tmpl w:val="7DE08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574EB"/>
    <w:multiLevelType w:val="hybridMultilevel"/>
    <w:tmpl w:val="618C94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3A1553"/>
    <w:multiLevelType w:val="hybridMultilevel"/>
    <w:tmpl w:val="A4560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E5D"/>
    <w:multiLevelType w:val="hybridMultilevel"/>
    <w:tmpl w:val="E8D4CF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0A7034"/>
    <w:multiLevelType w:val="hybridMultilevel"/>
    <w:tmpl w:val="931AB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CE4168"/>
    <w:multiLevelType w:val="hybridMultilevel"/>
    <w:tmpl w:val="F4E0FE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2252BD6"/>
    <w:multiLevelType w:val="hybridMultilevel"/>
    <w:tmpl w:val="BF1A00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930334"/>
    <w:multiLevelType w:val="hybridMultilevel"/>
    <w:tmpl w:val="44D86A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C62982"/>
    <w:multiLevelType w:val="hybridMultilevel"/>
    <w:tmpl w:val="200A7F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5E450C5"/>
    <w:multiLevelType w:val="hybridMultilevel"/>
    <w:tmpl w:val="C2E6AB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6F00685"/>
    <w:multiLevelType w:val="hybridMultilevel"/>
    <w:tmpl w:val="A4E68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505FD"/>
    <w:multiLevelType w:val="hybridMultilevel"/>
    <w:tmpl w:val="C58E7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627A1"/>
    <w:multiLevelType w:val="hybridMultilevel"/>
    <w:tmpl w:val="087263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E790C01"/>
    <w:multiLevelType w:val="hybridMultilevel"/>
    <w:tmpl w:val="54665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8008CF"/>
    <w:multiLevelType w:val="hybridMultilevel"/>
    <w:tmpl w:val="24A89A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FC9744C"/>
    <w:multiLevelType w:val="hybridMultilevel"/>
    <w:tmpl w:val="C6CC12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4B4145"/>
    <w:multiLevelType w:val="hybridMultilevel"/>
    <w:tmpl w:val="779C4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"/>
  </w:num>
  <w:num w:numId="7">
    <w:abstractNumId w:val="15"/>
  </w:num>
  <w:num w:numId="8">
    <w:abstractNumId w:val="9"/>
  </w:num>
  <w:num w:numId="9">
    <w:abstractNumId w:val="10"/>
  </w:num>
  <w:num w:numId="10">
    <w:abstractNumId w:val="16"/>
  </w:num>
  <w:num w:numId="11">
    <w:abstractNumId w:val="12"/>
  </w:num>
  <w:num w:numId="12">
    <w:abstractNumId w:val="7"/>
  </w:num>
  <w:num w:numId="13">
    <w:abstractNumId w:val="18"/>
  </w:num>
  <w:num w:numId="14">
    <w:abstractNumId w:val="20"/>
  </w:num>
  <w:num w:numId="15">
    <w:abstractNumId w:val="3"/>
  </w:num>
  <w:num w:numId="16">
    <w:abstractNumId w:val="8"/>
  </w:num>
  <w:num w:numId="17">
    <w:abstractNumId w:val="17"/>
  </w:num>
  <w:num w:numId="18">
    <w:abstractNumId w:val="19"/>
  </w:num>
  <w:num w:numId="19">
    <w:abstractNumId w:val="2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DD"/>
    <w:rsid w:val="00034AF4"/>
    <w:rsid w:val="000837FA"/>
    <w:rsid w:val="000B5CDD"/>
    <w:rsid w:val="00154DAC"/>
    <w:rsid w:val="00211389"/>
    <w:rsid w:val="003679FA"/>
    <w:rsid w:val="00654636"/>
    <w:rsid w:val="007078F4"/>
    <w:rsid w:val="00833B46"/>
    <w:rsid w:val="00BD6905"/>
    <w:rsid w:val="00C75607"/>
    <w:rsid w:val="00CA5ACF"/>
    <w:rsid w:val="00F2504A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3445E"/>
  <w15:docId w15:val="{053F76A9-081A-EA40-9F4B-92757329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113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89"/>
  </w:style>
  <w:style w:type="paragraph" w:styleId="Footer">
    <w:name w:val="footer"/>
    <w:basedOn w:val="Normal"/>
    <w:link w:val="FooterChar"/>
    <w:uiPriority w:val="99"/>
    <w:unhideWhenUsed/>
    <w:rsid w:val="002113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89"/>
  </w:style>
  <w:style w:type="paragraph" w:styleId="ListParagraph">
    <w:name w:val="List Paragraph"/>
    <w:basedOn w:val="Normal"/>
    <w:uiPriority w:val="34"/>
    <w:qFormat/>
    <w:rsid w:val="002113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Falls Community Schools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Casolari, Adriane K.</cp:lastModifiedBy>
  <cp:revision>2</cp:revision>
  <dcterms:created xsi:type="dcterms:W3CDTF">2019-02-01T01:39:00Z</dcterms:created>
  <dcterms:modified xsi:type="dcterms:W3CDTF">2019-02-01T01:39:00Z</dcterms:modified>
</cp:coreProperties>
</file>